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100" w:rsidRDefault="002E4100" w:rsidP="002E4100">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O107.3</w:t>
      </w:r>
    </w:p>
    <w:p w:rsidR="002E4100" w:rsidRDefault="002E4100" w:rsidP="002E4100">
      <w:pPr>
        <w:spacing w:after="0" w:line="240" w:lineRule="auto"/>
        <w:jc w:val="center"/>
        <w:rPr>
          <w:rFonts w:ascii="Times New Roman" w:eastAsia="Arial" w:hAnsi="Times New Roman"/>
          <w:b/>
          <w:sz w:val="28"/>
          <w:szCs w:val="28"/>
        </w:rPr>
      </w:pPr>
      <w:r>
        <w:rPr>
          <w:rFonts w:ascii="Times New Roman" w:eastAsia="Arial" w:hAnsi="Times New Roman"/>
          <w:b/>
          <w:sz w:val="28"/>
          <w:szCs w:val="28"/>
        </w:rPr>
        <w:t>Bank</w:t>
      </w:r>
      <w:r w:rsidR="00B32C07">
        <w:rPr>
          <w:rFonts w:ascii="Times New Roman" w:eastAsia="Arial" w:hAnsi="Times New Roman"/>
          <w:b/>
          <w:sz w:val="28"/>
          <w:szCs w:val="28"/>
        </w:rPr>
        <w:t>-</w:t>
      </w:r>
      <w:r>
        <w:rPr>
          <w:rFonts w:ascii="Times New Roman" w:eastAsia="Arial" w:hAnsi="Times New Roman"/>
          <w:b/>
          <w:sz w:val="28"/>
          <w:szCs w:val="28"/>
        </w:rPr>
        <w:t>Deposits Method</w:t>
      </w:r>
    </w:p>
    <w:p w:rsidR="002E4100" w:rsidRPr="004021D9" w:rsidRDefault="002E4100" w:rsidP="002E4100">
      <w:pPr>
        <w:spacing w:after="0" w:line="240" w:lineRule="auto"/>
        <w:rPr>
          <w:rFonts w:ascii="Times New Roman" w:eastAsia="Arial" w:hAnsi="Times New Roman"/>
          <w:sz w:val="28"/>
          <w:szCs w:val="28"/>
        </w:rPr>
      </w:pPr>
    </w:p>
    <w:p w:rsidR="002E4100" w:rsidRPr="00503874" w:rsidRDefault="002E4100" w:rsidP="002E41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 this case the Government relies upon the “bank-deposits method” of proving unreported income.</w:t>
      </w:r>
    </w:p>
    <w:p w:rsidR="002E4100" w:rsidRPr="00503874" w:rsidRDefault="002E4100" w:rsidP="002E41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Under this method of proof, when a taxpayer participates in an income- producing business or occupation and periodically deposits money in bank accounts under the taxpayer's name or control, an inference is created that the deposits represent taxable income unless it appears that the deposits were actually </w:t>
      </w:r>
      <w:proofErr w:type="spellStart"/>
      <w:r w:rsidRPr="00503874">
        <w:rPr>
          <w:rFonts w:ascii="Times New Roman" w:eastAsia="Arial" w:hAnsi="Times New Roman"/>
          <w:sz w:val="28"/>
          <w:szCs w:val="28"/>
        </w:rPr>
        <w:t>redeposits</w:t>
      </w:r>
      <w:proofErr w:type="spellEnd"/>
      <w:r w:rsidRPr="00503874">
        <w:rPr>
          <w:rFonts w:ascii="Times New Roman" w:eastAsia="Arial" w:hAnsi="Times New Roman"/>
          <w:sz w:val="28"/>
          <w:szCs w:val="28"/>
        </w:rPr>
        <w:t xml:space="preserve"> or transfers of funds between accounts, or that the deposits came from nontaxable sources such as gifts, inheritances, or loans.</w:t>
      </w:r>
    </w:p>
    <w:p w:rsidR="002E4100" w:rsidRPr="00503874" w:rsidRDefault="002E4100" w:rsidP="002E41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Similarly, when the taxpayer spends cash or currency from funds not deposited in any bank and not derived from a nontaxable source, an inference is created that the cash or currency is taxable income.</w:t>
      </w:r>
    </w:p>
    <w:p w:rsidR="002E4100" w:rsidRPr="00503874" w:rsidRDefault="002E4100" w:rsidP="002E41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Because the “bank-deposits method” of proving unreported income involves reviewing the Defendant's deposits and cash expenditures that came from taxable sources, the Government must establish an accurate cash-on-hand figure for the beginning of the tax year.</w:t>
      </w:r>
    </w:p>
    <w:p w:rsidR="002E4100" w:rsidRPr="00503874" w:rsidRDefault="002E4100" w:rsidP="002E41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the proof need not show the exact amount of the beginning cash-on-hand as long as it establishes that the Government's claimed cash-on-hand figure is reasonably accurate.</w:t>
      </w:r>
    </w:p>
    <w:p w:rsidR="002E4100" w:rsidRPr="00503874" w:rsidRDefault="002E4100" w:rsidP="002E41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So if you decide that the evidence doesn’t prove with reasonable certainty </w:t>
      </w:r>
      <w:r w:rsidRPr="00503874">
        <w:rPr>
          <w:rFonts w:ascii="Times New Roman" w:eastAsia="Arial" w:hAnsi="Times New Roman"/>
          <w:sz w:val="28"/>
          <w:szCs w:val="28"/>
        </w:rPr>
        <w:lastRenderedPageBreak/>
        <w:t>what the Defendant's cash-on-hand was at the beginning of the year, you must find the Defendant not guilty.</w:t>
      </w:r>
    </w:p>
    <w:p w:rsidR="002E4100" w:rsidRPr="00503874" w:rsidRDefault="002E4100" w:rsidP="002E41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decide whether the Defendant’s claimed cash-on-hand at the starting point is reasonably accurate, you may consider whether Government agents sufficiently investigated all reasonable leads suggested to them by the Defendant or that otherwise surfaced during the investigation concerning the existence of other funds.</w:t>
      </w:r>
    </w:p>
    <w:p w:rsidR="002E4100" w:rsidRPr="00503874" w:rsidRDefault="002E4100" w:rsidP="002E41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If you find that the Government's investigation failed to reasonably follow up on or failed to refute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plausible explanations advanced by the Defendant, or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explanations that otherwise arose during the investigation, concerning the Defendant's cash-on-hand at the beginning of the year, then you should find the Defendant not guilty.</w:t>
      </w:r>
    </w:p>
    <w:p w:rsidR="002E4100" w:rsidRPr="00503874" w:rsidRDefault="002E4100" w:rsidP="002E41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the Government’s obligation to reasonably investigate applies only to suggestions or explanations made by the Defendant, or to reasonable leads that otherwise turn up. The Government isn’t required to investigate every conceivable source of nontaxable funds.</w:t>
      </w:r>
    </w:p>
    <w:p w:rsidR="00725167" w:rsidRPr="002E4100" w:rsidRDefault="002E4100" w:rsidP="002E410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If you decide that the evidence in the case proves beyond a reasonable doubt that the Defendant's bank deposits plus the nondeductible cash expenditures during the year were much more than the amount of income reported on the Defendant's tax return for that year, you must then decide whether the evidence also proves </w:t>
      </w:r>
      <w:r w:rsidRPr="00503874">
        <w:rPr>
          <w:rFonts w:ascii="Times New Roman" w:eastAsia="Arial" w:hAnsi="Times New Roman"/>
          <w:sz w:val="28"/>
          <w:szCs w:val="28"/>
        </w:rPr>
        <w:lastRenderedPageBreak/>
        <w:t>beyond a reasonable doubt that the additional deposits and expenditures are from taxable income that the Defendant willfully atte</w:t>
      </w:r>
      <w:r>
        <w:rPr>
          <w:rFonts w:ascii="Times New Roman" w:eastAsia="Arial" w:hAnsi="Times New Roman"/>
          <w:sz w:val="28"/>
          <w:szCs w:val="28"/>
        </w:rPr>
        <w:t>mpted to evade paying taxes on.</w:t>
      </w:r>
      <w:bookmarkEnd w:id="0"/>
    </w:p>
    <w:sectPr w:rsidR="00725167" w:rsidRPr="002E4100" w:rsidSect="009E5AAB">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23E6"/>
    <w:rsid w:val="00037ACF"/>
    <w:rsid w:val="00046FD0"/>
    <w:rsid w:val="00061926"/>
    <w:rsid w:val="00084B22"/>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1389"/>
    <w:rsid w:val="002949DE"/>
    <w:rsid w:val="002955BC"/>
    <w:rsid w:val="00297F25"/>
    <w:rsid w:val="002A58C5"/>
    <w:rsid w:val="002A5F98"/>
    <w:rsid w:val="002B3CC0"/>
    <w:rsid w:val="002D05B0"/>
    <w:rsid w:val="002D15B0"/>
    <w:rsid w:val="002D46A4"/>
    <w:rsid w:val="002E4100"/>
    <w:rsid w:val="002E778E"/>
    <w:rsid w:val="002F0789"/>
    <w:rsid w:val="002F11BE"/>
    <w:rsid w:val="002F6471"/>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3D1CD0"/>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A39C3"/>
    <w:rsid w:val="007A6B81"/>
    <w:rsid w:val="007A709E"/>
    <w:rsid w:val="007B23A4"/>
    <w:rsid w:val="007C5B5A"/>
    <w:rsid w:val="007D2297"/>
    <w:rsid w:val="007D489E"/>
    <w:rsid w:val="007E0D22"/>
    <w:rsid w:val="007E6B1B"/>
    <w:rsid w:val="007F6988"/>
    <w:rsid w:val="007F77C9"/>
    <w:rsid w:val="008154EA"/>
    <w:rsid w:val="0081575C"/>
    <w:rsid w:val="00825482"/>
    <w:rsid w:val="008379EC"/>
    <w:rsid w:val="0084612E"/>
    <w:rsid w:val="00867923"/>
    <w:rsid w:val="008726B6"/>
    <w:rsid w:val="00876496"/>
    <w:rsid w:val="008774CF"/>
    <w:rsid w:val="0088335A"/>
    <w:rsid w:val="00890A4E"/>
    <w:rsid w:val="00892057"/>
    <w:rsid w:val="008939FC"/>
    <w:rsid w:val="008C37DB"/>
    <w:rsid w:val="008D4300"/>
    <w:rsid w:val="008D7939"/>
    <w:rsid w:val="008E3322"/>
    <w:rsid w:val="008E3911"/>
    <w:rsid w:val="00905D66"/>
    <w:rsid w:val="00917BF9"/>
    <w:rsid w:val="00923115"/>
    <w:rsid w:val="009241CD"/>
    <w:rsid w:val="009334D8"/>
    <w:rsid w:val="00951BA3"/>
    <w:rsid w:val="00954ED0"/>
    <w:rsid w:val="009735DC"/>
    <w:rsid w:val="00993241"/>
    <w:rsid w:val="00996805"/>
    <w:rsid w:val="009A2D54"/>
    <w:rsid w:val="009B342A"/>
    <w:rsid w:val="009B791B"/>
    <w:rsid w:val="009C38F1"/>
    <w:rsid w:val="009D34C3"/>
    <w:rsid w:val="009D6389"/>
    <w:rsid w:val="009E5AAB"/>
    <w:rsid w:val="009F22BD"/>
    <w:rsid w:val="00A247DA"/>
    <w:rsid w:val="00A440AC"/>
    <w:rsid w:val="00A56A7D"/>
    <w:rsid w:val="00A72636"/>
    <w:rsid w:val="00A76BCD"/>
    <w:rsid w:val="00AA2BBA"/>
    <w:rsid w:val="00AA6BE1"/>
    <w:rsid w:val="00AB14AE"/>
    <w:rsid w:val="00AC3D8D"/>
    <w:rsid w:val="00AD0C96"/>
    <w:rsid w:val="00AD3D99"/>
    <w:rsid w:val="00AD47C0"/>
    <w:rsid w:val="00AE728E"/>
    <w:rsid w:val="00AF5B0A"/>
    <w:rsid w:val="00B00A13"/>
    <w:rsid w:val="00B32C07"/>
    <w:rsid w:val="00B55C89"/>
    <w:rsid w:val="00B62FD8"/>
    <w:rsid w:val="00B8236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73AFE"/>
    <w:rsid w:val="00D8337C"/>
    <w:rsid w:val="00D841D4"/>
    <w:rsid w:val="00D96E05"/>
    <w:rsid w:val="00DC100C"/>
    <w:rsid w:val="00DC18AE"/>
    <w:rsid w:val="00DC4D62"/>
    <w:rsid w:val="00DC59BD"/>
    <w:rsid w:val="00DD5FE6"/>
    <w:rsid w:val="00E06D44"/>
    <w:rsid w:val="00E13812"/>
    <w:rsid w:val="00E26C5E"/>
    <w:rsid w:val="00E274C4"/>
    <w:rsid w:val="00E27664"/>
    <w:rsid w:val="00E55EEB"/>
    <w:rsid w:val="00E7641C"/>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8E39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911"/>
  </w:style>
  <w:style w:type="paragraph" w:styleId="Footer">
    <w:name w:val="footer"/>
    <w:basedOn w:val="Normal"/>
    <w:link w:val="FooterChar"/>
    <w:uiPriority w:val="99"/>
    <w:unhideWhenUsed/>
    <w:rsid w:val="008E39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9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8E39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911"/>
  </w:style>
  <w:style w:type="paragraph" w:styleId="Footer">
    <w:name w:val="footer"/>
    <w:basedOn w:val="Normal"/>
    <w:link w:val="FooterChar"/>
    <w:uiPriority w:val="99"/>
    <w:unhideWhenUsed/>
    <w:rsid w:val="008E39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426</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2014-03-31T21:46:00Z</dcterms:created>
  <dcterms:modified xsi:type="dcterms:W3CDTF">2014-06-16T23:57:00Z</dcterms:modified>
</cp:coreProperties>
</file>