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41BB" w:rsidRDefault="003041BB" w:rsidP="003041BB">
      <w:pPr>
        <w:spacing w:after="0" w:line="240" w:lineRule="auto"/>
        <w:jc w:val="center"/>
        <w:rPr>
          <w:rFonts w:ascii="Times New Roman" w:eastAsia="Arial" w:hAnsi="Times New Roman"/>
          <w:b/>
          <w:sz w:val="28"/>
          <w:szCs w:val="28"/>
        </w:rPr>
      </w:pPr>
      <w:r>
        <w:rPr>
          <w:rFonts w:ascii="Times New Roman" w:eastAsia="Arial" w:hAnsi="Times New Roman"/>
          <w:b/>
          <w:sz w:val="28"/>
          <w:szCs w:val="28"/>
        </w:rPr>
        <w:t>O107.4</w:t>
      </w:r>
    </w:p>
    <w:p w:rsidR="003041BB" w:rsidRDefault="003041BB" w:rsidP="003041BB">
      <w:pPr>
        <w:spacing w:after="0" w:line="240" w:lineRule="auto"/>
        <w:jc w:val="center"/>
        <w:rPr>
          <w:rFonts w:ascii="Times New Roman" w:eastAsia="Arial" w:hAnsi="Times New Roman"/>
          <w:b/>
          <w:sz w:val="28"/>
          <w:szCs w:val="28"/>
        </w:rPr>
      </w:pPr>
      <w:r>
        <w:rPr>
          <w:rFonts w:ascii="Times New Roman" w:eastAsia="Arial" w:hAnsi="Times New Roman"/>
          <w:b/>
          <w:sz w:val="28"/>
          <w:szCs w:val="28"/>
        </w:rPr>
        <w:t>Cash Expenditures Method</w:t>
      </w:r>
    </w:p>
    <w:p w:rsidR="003041BB" w:rsidRPr="004021D9" w:rsidRDefault="003041BB" w:rsidP="003041BB">
      <w:pPr>
        <w:spacing w:after="0" w:line="240" w:lineRule="auto"/>
        <w:rPr>
          <w:rFonts w:ascii="Times New Roman" w:eastAsia="Arial" w:hAnsi="Times New Roman"/>
          <w:sz w:val="28"/>
          <w:szCs w:val="28"/>
        </w:rPr>
      </w:pPr>
    </w:p>
    <w:p w:rsidR="003041BB" w:rsidRPr="00503874" w:rsidRDefault="003041BB" w:rsidP="003041B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In this case the Government relies upon the “cash-expenditures method” of proving unreported income.</w:t>
      </w:r>
    </w:p>
    <w:p w:rsidR="003041BB" w:rsidRPr="00503874" w:rsidRDefault="003041BB" w:rsidP="003041B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Under this method of proof, if a taxpayer's expenditures for a particular taxable year plus any increase in net worth are more than the total of the taxpayer's reported income plus nontaxable receipts and available cash at the beginning of the year, then the taxpayer has understated [his] [her] income.</w:t>
      </w:r>
    </w:p>
    <w:p w:rsidR="003041BB" w:rsidRPr="00503874" w:rsidRDefault="003041BB" w:rsidP="003041B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“cash-expenditures method” requires examining the Defendant's expenditures during the taxable year and examining the Defendant's “net worth” at the beginning and at the end of that year.</w:t>
      </w:r>
    </w:p>
    <w:p w:rsidR="003041BB" w:rsidRPr="00503874" w:rsidRDefault="003041BB" w:rsidP="003041B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person's “net worth” is the difference between the person's total assets and total liabilities on a given date. In other words, it is the difference between what the person owns and what the person owes. Until something is sold, the value of what the person owns is based on cost rather than on any increase in market value.</w:t>
      </w:r>
    </w:p>
    <w:p w:rsidR="003041BB" w:rsidRPr="00503874" w:rsidRDefault="003041BB" w:rsidP="003041B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If the evidence proves beyond a reasonable doubt that the Defendant's net worth increased during a taxable year, then you may infer that the Defendant received money or property during that year.</w:t>
      </w:r>
    </w:p>
    <w:p w:rsidR="003041BB" w:rsidRPr="00503874" w:rsidRDefault="003041BB" w:rsidP="003041B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And if the evidence also proves that nontaxable sources don’t account for the increase in net worth, </w:t>
      </w:r>
      <w:proofErr w:type="gramStart"/>
      <w:r w:rsidRPr="00503874">
        <w:rPr>
          <w:rFonts w:ascii="Times New Roman" w:eastAsia="Arial" w:hAnsi="Times New Roman"/>
          <w:sz w:val="28"/>
          <w:szCs w:val="28"/>
        </w:rPr>
        <w:t>then</w:t>
      </w:r>
      <w:proofErr w:type="gramEnd"/>
      <w:r w:rsidRPr="00503874">
        <w:rPr>
          <w:rFonts w:ascii="Times New Roman" w:eastAsia="Arial" w:hAnsi="Times New Roman"/>
          <w:sz w:val="28"/>
          <w:szCs w:val="28"/>
        </w:rPr>
        <w:t xml:space="preserve"> you may further infer that the money and property received were taxable income to the Defendant.</w:t>
      </w:r>
    </w:p>
    <w:p w:rsidR="003041BB" w:rsidRPr="00503874" w:rsidRDefault="003041BB" w:rsidP="003041B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lastRenderedPageBreak/>
        <w:t>In addition to the matter of the Defendant's net worth, if the evidence proves beyond a reasonable doubt that the Defendant spent money during the year on living expenses, taxes, and other expenses that didn’t add to the Defendant's net worth by the end of the year, then you may infer that those expenditures also came from funds received during the year.</w:t>
      </w:r>
    </w:p>
    <w:p w:rsidR="003041BB" w:rsidRPr="00503874" w:rsidRDefault="003041BB" w:rsidP="003041B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And, again, if the evidence proves that those funds didn’t come from nontaxable sources, and those expenses would not be deductible on the Defendant’s tax return, then you may further infer that those funds were also taxable income.</w:t>
      </w:r>
    </w:p>
    <w:p w:rsidR="003041BB" w:rsidRPr="00503874" w:rsidRDefault="003041BB" w:rsidP="003041B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“net worth method” of proving unreported income involves comparing the Defendant's net worth at the beginning of the year and the Defendant's net worth at the end of the year. So the result cannot be accepted as correct unless the starting net worth is reasonably accurate.</w:t>
      </w:r>
    </w:p>
    <w:p w:rsidR="003041BB" w:rsidRPr="00503874" w:rsidRDefault="003041BB" w:rsidP="003041B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If it’s proved that the assets owned by the Defendant at the starting point were insufficient, by themselves, to account for the later increases in the Defendant's net worth, then the proof does not have to show the exact value of the assets owned at the starting point, only the reasonably certain value.</w:t>
      </w:r>
    </w:p>
    <w:p w:rsidR="003041BB" w:rsidRPr="00503874" w:rsidRDefault="003041BB" w:rsidP="003041B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So, if you decide that the evidence doesn’t prove with reasonable certainty what the Defendant's net worth was at the beginning of the year, you must find the Defendant not guilty.</w:t>
      </w:r>
    </w:p>
    <w:p w:rsidR="003041BB" w:rsidRPr="00503874" w:rsidRDefault="003041BB" w:rsidP="003041B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lastRenderedPageBreak/>
        <w:t>To decide whether the Defendant’s claimed net worth at the starting point is reasonably accurate, you may consider whether Government agents sufficiently investigated all reasonable “leads” suggested to them by the Defendant or that otherwise surfaced during the investigation concerning the existence and value of other assets.</w:t>
      </w:r>
    </w:p>
    <w:p w:rsidR="003041BB" w:rsidRPr="00503874" w:rsidRDefault="003041BB" w:rsidP="003041B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If you find that the Government's investigation failed to reasonably follow up on or failed to refute </w:t>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plausible explanations advanced by the Defendant, or </w:t>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explanations that otherwise arose during the investigation concerning other assets the Defendant had at the beginning of the year, or </w:t>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other nontaxable sources of income the Defendant had during the year, then you should find the Defendant not guilty.</w:t>
      </w:r>
    </w:p>
    <w:p w:rsidR="003041BB" w:rsidRPr="00503874" w:rsidRDefault="003041BB" w:rsidP="003041B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But the Government’s obligation to reasonably investigate applies only to suggestions or explanations made by the Defendant, or to reasonable leads that otherwise turn up. The Government isn’t required to investigate every conceivable asset or source of nontaxable funds.</w:t>
      </w:r>
    </w:p>
    <w:p w:rsidR="00725167" w:rsidRPr="003041BB" w:rsidRDefault="003041BB" w:rsidP="003041B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If you decide the evidence in the case proves beyond a reasonable doubt what was the maximum possible amount of the Defendant's net worth at the beginning of the tax year, and proves that any increase in the Defendant's net worth at the end of the year plus the amount of nondeductible expenditures made during the year was much more t</w:t>
      </w:r>
      <w:bookmarkStart w:id="0" w:name="_GoBack"/>
      <w:bookmarkEnd w:id="0"/>
      <w:r w:rsidRPr="00503874">
        <w:rPr>
          <w:rFonts w:ascii="Times New Roman" w:eastAsia="Arial" w:hAnsi="Times New Roman"/>
          <w:sz w:val="28"/>
          <w:szCs w:val="28"/>
        </w:rPr>
        <w:t>han the amount of income reported on the Defendant's tax return for that year, you must then decide whether the evidence also proves beyond a reasonable doubt that the additional funds are taxable income that the Defendant willfully atte</w:t>
      </w:r>
      <w:r>
        <w:rPr>
          <w:rFonts w:ascii="Times New Roman" w:eastAsia="Arial" w:hAnsi="Times New Roman"/>
          <w:sz w:val="28"/>
          <w:szCs w:val="28"/>
        </w:rPr>
        <w:t>mpted to evade paying taxes on.</w:t>
      </w:r>
    </w:p>
    <w:sectPr w:rsidR="00725167" w:rsidRPr="003041BB" w:rsidSect="0085053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82E" w:rsidRDefault="00BF682E" w:rsidP="00BF682E">
      <w:pPr>
        <w:spacing w:after="0" w:line="240" w:lineRule="auto"/>
      </w:pPr>
      <w:r>
        <w:separator/>
      </w:r>
    </w:p>
  </w:endnote>
  <w:endnote w:type="continuationSeparator" w:id="0">
    <w:p w:rsidR="00BF682E" w:rsidRDefault="00BF682E" w:rsidP="00BF6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82E" w:rsidRDefault="00BF682E" w:rsidP="00BF682E">
      <w:pPr>
        <w:spacing w:after="0" w:line="240" w:lineRule="auto"/>
      </w:pPr>
      <w:r>
        <w:separator/>
      </w:r>
    </w:p>
  </w:footnote>
  <w:footnote w:type="continuationSeparator" w:id="0">
    <w:p w:rsidR="00BF682E" w:rsidRDefault="00BF682E" w:rsidP="00BF68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23E6"/>
    <w:rsid w:val="00037ACF"/>
    <w:rsid w:val="00046FD0"/>
    <w:rsid w:val="00061926"/>
    <w:rsid w:val="00084B22"/>
    <w:rsid w:val="000930F1"/>
    <w:rsid w:val="000A0DAC"/>
    <w:rsid w:val="000A3770"/>
    <w:rsid w:val="000C545E"/>
    <w:rsid w:val="000D1564"/>
    <w:rsid w:val="000F71FA"/>
    <w:rsid w:val="00124866"/>
    <w:rsid w:val="001363A6"/>
    <w:rsid w:val="001504EB"/>
    <w:rsid w:val="00174E07"/>
    <w:rsid w:val="001766ED"/>
    <w:rsid w:val="00193F8E"/>
    <w:rsid w:val="001945EA"/>
    <w:rsid w:val="00196D06"/>
    <w:rsid w:val="001A27D3"/>
    <w:rsid w:val="001A7BCA"/>
    <w:rsid w:val="001C2AD1"/>
    <w:rsid w:val="001D5D4B"/>
    <w:rsid w:val="001E65E4"/>
    <w:rsid w:val="001F304B"/>
    <w:rsid w:val="0023331F"/>
    <w:rsid w:val="002355A2"/>
    <w:rsid w:val="00291389"/>
    <w:rsid w:val="002949DE"/>
    <w:rsid w:val="002955BC"/>
    <w:rsid w:val="00297F25"/>
    <w:rsid w:val="002A58C5"/>
    <w:rsid w:val="002A5F98"/>
    <w:rsid w:val="002B3CC0"/>
    <w:rsid w:val="002D05B0"/>
    <w:rsid w:val="002D15B0"/>
    <w:rsid w:val="002D46A4"/>
    <w:rsid w:val="002E4100"/>
    <w:rsid w:val="002E778E"/>
    <w:rsid w:val="002F0789"/>
    <w:rsid w:val="002F11BE"/>
    <w:rsid w:val="002F6471"/>
    <w:rsid w:val="003041BB"/>
    <w:rsid w:val="003106D2"/>
    <w:rsid w:val="00316759"/>
    <w:rsid w:val="00323D3D"/>
    <w:rsid w:val="003269E0"/>
    <w:rsid w:val="003323B8"/>
    <w:rsid w:val="003353A3"/>
    <w:rsid w:val="00351981"/>
    <w:rsid w:val="00357A92"/>
    <w:rsid w:val="00360006"/>
    <w:rsid w:val="00364249"/>
    <w:rsid w:val="003643AB"/>
    <w:rsid w:val="003670BF"/>
    <w:rsid w:val="003B084A"/>
    <w:rsid w:val="003B1417"/>
    <w:rsid w:val="003C2F3D"/>
    <w:rsid w:val="003D1CD0"/>
    <w:rsid w:val="003F5083"/>
    <w:rsid w:val="00401D1E"/>
    <w:rsid w:val="00412231"/>
    <w:rsid w:val="00424976"/>
    <w:rsid w:val="0044104D"/>
    <w:rsid w:val="00443451"/>
    <w:rsid w:val="00462948"/>
    <w:rsid w:val="004766C7"/>
    <w:rsid w:val="004B45C0"/>
    <w:rsid w:val="004C4685"/>
    <w:rsid w:val="004C5014"/>
    <w:rsid w:val="004D1133"/>
    <w:rsid w:val="004D306C"/>
    <w:rsid w:val="00501C3B"/>
    <w:rsid w:val="00504E80"/>
    <w:rsid w:val="00510D88"/>
    <w:rsid w:val="0053483C"/>
    <w:rsid w:val="0053790A"/>
    <w:rsid w:val="00556601"/>
    <w:rsid w:val="00557F44"/>
    <w:rsid w:val="00563316"/>
    <w:rsid w:val="00572EB8"/>
    <w:rsid w:val="005745FE"/>
    <w:rsid w:val="00583EEE"/>
    <w:rsid w:val="00594503"/>
    <w:rsid w:val="005A1944"/>
    <w:rsid w:val="005A273E"/>
    <w:rsid w:val="005C4A63"/>
    <w:rsid w:val="005F37C9"/>
    <w:rsid w:val="00613601"/>
    <w:rsid w:val="00625D08"/>
    <w:rsid w:val="00626221"/>
    <w:rsid w:val="006429EF"/>
    <w:rsid w:val="00644D57"/>
    <w:rsid w:val="006658C1"/>
    <w:rsid w:val="006714FD"/>
    <w:rsid w:val="00680619"/>
    <w:rsid w:val="00692120"/>
    <w:rsid w:val="00697715"/>
    <w:rsid w:val="006B4912"/>
    <w:rsid w:val="006C622A"/>
    <w:rsid w:val="006D3953"/>
    <w:rsid w:val="006D4568"/>
    <w:rsid w:val="006E3583"/>
    <w:rsid w:val="00704ACD"/>
    <w:rsid w:val="00706311"/>
    <w:rsid w:val="007147D3"/>
    <w:rsid w:val="00724005"/>
    <w:rsid w:val="00725167"/>
    <w:rsid w:val="00727375"/>
    <w:rsid w:val="00732434"/>
    <w:rsid w:val="00737B20"/>
    <w:rsid w:val="007563EF"/>
    <w:rsid w:val="007660E3"/>
    <w:rsid w:val="00767C79"/>
    <w:rsid w:val="00771D71"/>
    <w:rsid w:val="0077706C"/>
    <w:rsid w:val="00786F50"/>
    <w:rsid w:val="007A39C3"/>
    <w:rsid w:val="007A6B81"/>
    <w:rsid w:val="007A709E"/>
    <w:rsid w:val="007B23A4"/>
    <w:rsid w:val="007C5B5A"/>
    <w:rsid w:val="007D2297"/>
    <w:rsid w:val="007D489E"/>
    <w:rsid w:val="007E0D22"/>
    <w:rsid w:val="007E6B1B"/>
    <w:rsid w:val="007F6988"/>
    <w:rsid w:val="007F77C9"/>
    <w:rsid w:val="008154EA"/>
    <w:rsid w:val="0081575C"/>
    <w:rsid w:val="00825482"/>
    <w:rsid w:val="008379EC"/>
    <w:rsid w:val="0084612E"/>
    <w:rsid w:val="00850539"/>
    <w:rsid w:val="00867923"/>
    <w:rsid w:val="008726B6"/>
    <w:rsid w:val="00876496"/>
    <w:rsid w:val="008774CF"/>
    <w:rsid w:val="0088335A"/>
    <w:rsid w:val="00890A4E"/>
    <w:rsid w:val="00892057"/>
    <w:rsid w:val="008C37DB"/>
    <w:rsid w:val="008D4300"/>
    <w:rsid w:val="008D7939"/>
    <w:rsid w:val="008E3322"/>
    <w:rsid w:val="00905D66"/>
    <w:rsid w:val="00917BF9"/>
    <w:rsid w:val="00923115"/>
    <w:rsid w:val="009241CD"/>
    <w:rsid w:val="009334D8"/>
    <w:rsid w:val="00951BA3"/>
    <w:rsid w:val="00954ED0"/>
    <w:rsid w:val="009735DC"/>
    <w:rsid w:val="00993241"/>
    <w:rsid w:val="00996805"/>
    <w:rsid w:val="009A2D54"/>
    <w:rsid w:val="009B342A"/>
    <w:rsid w:val="009B791B"/>
    <w:rsid w:val="009C38F1"/>
    <w:rsid w:val="009D34C3"/>
    <w:rsid w:val="009D6389"/>
    <w:rsid w:val="009F22BD"/>
    <w:rsid w:val="00A247DA"/>
    <w:rsid w:val="00A440AC"/>
    <w:rsid w:val="00A56A7D"/>
    <w:rsid w:val="00A72636"/>
    <w:rsid w:val="00A76BCD"/>
    <w:rsid w:val="00AA2BBA"/>
    <w:rsid w:val="00AA6BE1"/>
    <w:rsid w:val="00AB14AE"/>
    <w:rsid w:val="00AD0C96"/>
    <w:rsid w:val="00AD3D99"/>
    <w:rsid w:val="00AD47C0"/>
    <w:rsid w:val="00AE728E"/>
    <w:rsid w:val="00AF5B0A"/>
    <w:rsid w:val="00B00A13"/>
    <w:rsid w:val="00B55C89"/>
    <w:rsid w:val="00B62FD8"/>
    <w:rsid w:val="00B82368"/>
    <w:rsid w:val="00BB4A37"/>
    <w:rsid w:val="00BF3BA6"/>
    <w:rsid w:val="00BF48B6"/>
    <w:rsid w:val="00BF682E"/>
    <w:rsid w:val="00BF6E7E"/>
    <w:rsid w:val="00C364B3"/>
    <w:rsid w:val="00C54C40"/>
    <w:rsid w:val="00C6381A"/>
    <w:rsid w:val="00C65CA3"/>
    <w:rsid w:val="00C67B4C"/>
    <w:rsid w:val="00C80256"/>
    <w:rsid w:val="00C8168F"/>
    <w:rsid w:val="00C81EB6"/>
    <w:rsid w:val="00C82F23"/>
    <w:rsid w:val="00C85838"/>
    <w:rsid w:val="00C90D9E"/>
    <w:rsid w:val="00CB15F1"/>
    <w:rsid w:val="00CB5193"/>
    <w:rsid w:val="00CD4431"/>
    <w:rsid w:val="00CE389B"/>
    <w:rsid w:val="00CF4820"/>
    <w:rsid w:val="00D217C7"/>
    <w:rsid w:val="00D230DA"/>
    <w:rsid w:val="00D30ADB"/>
    <w:rsid w:val="00D32381"/>
    <w:rsid w:val="00D73AFE"/>
    <w:rsid w:val="00D8337C"/>
    <w:rsid w:val="00D841D4"/>
    <w:rsid w:val="00D96E05"/>
    <w:rsid w:val="00DC100C"/>
    <w:rsid w:val="00DC18AE"/>
    <w:rsid w:val="00DC4D62"/>
    <w:rsid w:val="00DC59BD"/>
    <w:rsid w:val="00DD5FE6"/>
    <w:rsid w:val="00E06D44"/>
    <w:rsid w:val="00E11DC3"/>
    <w:rsid w:val="00E13812"/>
    <w:rsid w:val="00E26C5E"/>
    <w:rsid w:val="00E274C4"/>
    <w:rsid w:val="00E27664"/>
    <w:rsid w:val="00E55EEB"/>
    <w:rsid w:val="00E7641C"/>
    <w:rsid w:val="00EC39F0"/>
    <w:rsid w:val="00ED45B3"/>
    <w:rsid w:val="00ED6AF8"/>
    <w:rsid w:val="00F01760"/>
    <w:rsid w:val="00F07077"/>
    <w:rsid w:val="00F3494A"/>
    <w:rsid w:val="00F50843"/>
    <w:rsid w:val="00F54061"/>
    <w:rsid w:val="00F74FBB"/>
    <w:rsid w:val="00F77A73"/>
    <w:rsid w:val="00F83540"/>
    <w:rsid w:val="00F83A34"/>
    <w:rsid w:val="00F95CF4"/>
    <w:rsid w:val="00FA4971"/>
    <w:rsid w:val="00FD1391"/>
    <w:rsid w:val="00FD40C1"/>
    <w:rsid w:val="00FE6036"/>
    <w:rsid w:val="00FE6BB9"/>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3F50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5083"/>
  </w:style>
  <w:style w:type="paragraph" w:styleId="Footer">
    <w:name w:val="footer"/>
    <w:basedOn w:val="Normal"/>
    <w:link w:val="FooterChar"/>
    <w:uiPriority w:val="99"/>
    <w:unhideWhenUsed/>
    <w:rsid w:val="003F50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50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3F50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5083"/>
  </w:style>
  <w:style w:type="paragraph" w:styleId="Footer">
    <w:name w:val="footer"/>
    <w:basedOn w:val="Normal"/>
    <w:link w:val="FooterChar"/>
    <w:uiPriority w:val="99"/>
    <w:unhideWhenUsed/>
    <w:rsid w:val="003F50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50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661</Words>
  <Characters>3771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2014-03-31T21:45:00Z</dcterms:created>
  <dcterms:modified xsi:type="dcterms:W3CDTF">2014-06-16T22:49:00Z</dcterms:modified>
</cp:coreProperties>
</file>