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C9B" w:rsidRPr="00503874" w:rsidRDefault="008E7C9B" w:rsidP="008E7C9B">
      <w:pPr>
        <w:spacing w:after="0" w:line="240" w:lineRule="auto"/>
        <w:jc w:val="both"/>
        <w:rPr>
          <w:rFonts w:ascii="Times New Roman" w:eastAsia="Arial" w:hAnsi="Times New Roman"/>
          <w:sz w:val="26"/>
          <w:szCs w:val="26"/>
        </w:rPr>
      </w:pPr>
      <w:bookmarkStart w:id="0" w:name="_GoBack"/>
      <w:r w:rsidRPr="00503874">
        <w:rPr>
          <w:rFonts w:ascii="Times New Roman" w:eastAsia="Arial" w:hAnsi="Times New Roman"/>
          <w:b/>
          <w:sz w:val="26"/>
          <w:szCs w:val="26"/>
          <w:u w:val="single"/>
        </w:rPr>
        <w:t>ANNOTATIONS AND COMMENTS</w:t>
      </w:r>
    </w:p>
    <w:p w:rsidR="008E7C9B" w:rsidRPr="00503874" w:rsidRDefault="008E7C9B" w:rsidP="008E7C9B">
      <w:pPr>
        <w:spacing w:after="0" w:line="240" w:lineRule="auto"/>
        <w:jc w:val="both"/>
        <w:rPr>
          <w:rFonts w:ascii="Times New Roman" w:eastAsia="Arial" w:hAnsi="Times New Roman"/>
          <w:sz w:val="26"/>
          <w:szCs w:val="26"/>
        </w:rPr>
      </w:pPr>
    </w:p>
    <w:p w:rsidR="008E7C9B" w:rsidRPr="00503874" w:rsidRDefault="008E7C9B" w:rsidP="008E7C9B">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287 provides:</w:t>
      </w:r>
    </w:p>
    <w:p w:rsidR="008E7C9B" w:rsidRPr="00503874" w:rsidRDefault="008E7C9B" w:rsidP="008E7C9B">
      <w:pPr>
        <w:spacing w:after="0" w:line="240" w:lineRule="auto"/>
        <w:jc w:val="both"/>
        <w:rPr>
          <w:rFonts w:ascii="Times New Roman" w:eastAsia="Arial" w:hAnsi="Times New Roman"/>
          <w:sz w:val="26"/>
          <w:szCs w:val="26"/>
        </w:rPr>
      </w:pPr>
    </w:p>
    <w:p w:rsidR="008E7C9B" w:rsidRPr="00503874" w:rsidRDefault="008E7C9B" w:rsidP="008E7C9B">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t>Whoever makes or presents to any person or officer in the civil, military, or naval service of the United States, or to any department or agency thereof, any claim upon or against the United States, or any department or agency thereof, knowing such claim to be false, fictitious, or fraudulent [shall be guilty of an offense against the United States].</w:t>
      </w:r>
    </w:p>
    <w:p w:rsidR="008E7C9B" w:rsidRPr="00503874" w:rsidRDefault="008E7C9B" w:rsidP="008E7C9B">
      <w:pPr>
        <w:spacing w:after="0" w:line="240" w:lineRule="auto"/>
        <w:jc w:val="both"/>
        <w:rPr>
          <w:rFonts w:ascii="Times New Roman" w:eastAsia="Arial" w:hAnsi="Times New Roman" w:cs="Times New Roman"/>
          <w:sz w:val="26"/>
          <w:szCs w:val="26"/>
        </w:rPr>
      </w:pPr>
    </w:p>
    <w:p w:rsidR="008E7C9B" w:rsidRPr="00503874" w:rsidRDefault="008E7C9B" w:rsidP="008E7C9B">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Maximum Penalty: Five </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5 </w:instrText>
      </w:r>
      <w:r w:rsidRPr="00503874">
        <w:rPr>
          <w:rFonts w:ascii="Times New Roman" w:eastAsia="Arial" w:hAnsi="Times New Roman"/>
          <w:sz w:val="26"/>
          <w:szCs w:val="26"/>
        </w:rPr>
        <w:fldChar w:fldCharType="end"/>
      </w:r>
      <w:r w:rsidRPr="00503874">
        <w:rPr>
          <w:rFonts w:ascii="Times New Roman" w:eastAsia="Arial" w:hAnsi="Times New Roman" w:cs="Times New Roman"/>
          <w:sz w:val="26"/>
          <w:szCs w:val="26"/>
        </w:rPr>
        <w:t xml:space="preserve"> years imprisonment and applicable fine.</w:t>
      </w:r>
    </w:p>
    <w:p w:rsidR="008E7C9B" w:rsidRPr="00503874" w:rsidRDefault="008E7C9B" w:rsidP="008E7C9B">
      <w:pPr>
        <w:spacing w:after="0" w:line="240" w:lineRule="auto"/>
        <w:jc w:val="both"/>
        <w:rPr>
          <w:rFonts w:ascii="Times New Roman" w:eastAsia="Arial" w:hAnsi="Times New Roman"/>
          <w:sz w:val="26"/>
          <w:szCs w:val="26"/>
        </w:rPr>
      </w:pPr>
    </w:p>
    <w:p w:rsidR="008E7C9B" w:rsidRPr="00503874" w:rsidRDefault="008E7C9B" w:rsidP="008E7C9B">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Note that Section 287, unlike other false claims or false statement provisions such as 18 U.S.C. § 1001, does not expressly state that “materiality” is an essential element of the offense.</w:t>
      </w:r>
    </w:p>
    <w:p w:rsidR="008E7C9B" w:rsidRPr="00503874" w:rsidRDefault="008E7C9B" w:rsidP="008E7C9B">
      <w:pPr>
        <w:spacing w:after="0" w:line="240" w:lineRule="auto"/>
        <w:jc w:val="both"/>
        <w:rPr>
          <w:rFonts w:ascii="Times New Roman" w:eastAsia="Arial" w:hAnsi="Times New Roman" w:cs="Times New Roman"/>
          <w:sz w:val="26"/>
          <w:szCs w:val="26"/>
        </w:rPr>
      </w:pPr>
    </w:p>
    <w:p w:rsidR="008E7C9B" w:rsidRPr="00503874" w:rsidRDefault="008E7C9B" w:rsidP="008E7C9B">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Before 1997, the Fourth and Eighth Circuits held that materiality is an element of a violation under 18 U.S.C. § 287. </w:t>
      </w:r>
      <w:r w:rsidRPr="00E40245">
        <w:rPr>
          <w:rFonts w:ascii="Times New Roman" w:eastAsia="Arial" w:hAnsi="Times New Roman" w:cs="Times New Roman"/>
          <w:i/>
          <w:sz w:val="26"/>
          <w:szCs w:val="26"/>
        </w:rPr>
        <w:t>United States v. Pruitt</w:t>
      </w:r>
      <w:r w:rsidRPr="00503874">
        <w:rPr>
          <w:rFonts w:ascii="Times New Roman" w:eastAsia="Arial" w:hAnsi="Times New Roman" w:cs="Times New Roman"/>
          <w:sz w:val="26"/>
          <w:szCs w:val="26"/>
        </w:rPr>
        <w:t>, 702 F.2d 152, 155 (8</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1983); </w:t>
      </w:r>
      <w:r w:rsidRPr="00E40245">
        <w:rPr>
          <w:rFonts w:ascii="Times New Roman" w:eastAsia="Arial" w:hAnsi="Times New Roman" w:cs="Times New Roman"/>
          <w:i/>
          <w:sz w:val="26"/>
          <w:szCs w:val="26"/>
        </w:rPr>
        <w:t>United States v. Snider</w:t>
      </w:r>
      <w:r w:rsidRPr="00503874">
        <w:rPr>
          <w:rFonts w:ascii="Times New Roman" w:eastAsia="Arial" w:hAnsi="Times New Roman" w:cs="Times New Roman"/>
          <w:sz w:val="26"/>
          <w:szCs w:val="26"/>
        </w:rPr>
        <w:t>, 502 F.2d 645, 652 n.12 (4</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1974), while the Second, Fifth, Ninth, and Tenth Circuits held that materiality is </w:t>
      </w:r>
      <w:r w:rsidRPr="00503874">
        <w:rPr>
          <w:rFonts w:ascii="Times New Roman" w:eastAsia="Arial" w:hAnsi="Times New Roman" w:cs="Times New Roman"/>
          <w:sz w:val="26"/>
          <w:szCs w:val="26"/>
          <w:u w:val="single"/>
        </w:rPr>
        <w:t>not</w:t>
      </w:r>
      <w:r w:rsidRPr="00503874">
        <w:rPr>
          <w:rFonts w:ascii="Times New Roman" w:eastAsia="Arial" w:hAnsi="Times New Roman" w:cs="Times New Roman"/>
          <w:sz w:val="26"/>
          <w:szCs w:val="26"/>
        </w:rPr>
        <w:t xml:space="preserve"> an element under 18 U.S.C. § 287. </w:t>
      </w:r>
      <w:r w:rsidRPr="00E40245">
        <w:rPr>
          <w:rFonts w:ascii="Times New Roman" w:eastAsia="Arial" w:hAnsi="Times New Roman" w:cs="Times New Roman"/>
          <w:i/>
          <w:sz w:val="26"/>
          <w:szCs w:val="26"/>
        </w:rPr>
        <w:t>United States v. Upton</w:t>
      </w:r>
      <w:r w:rsidRPr="00503874">
        <w:rPr>
          <w:rFonts w:ascii="Times New Roman" w:eastAsia="Arial" w:hAnsi="Times New Roman" w:cs="Times New Roman"/>
          <w:sz w:val="26"/>
          <w:szCs w:val="26"/>
        </w:rPr>
        <w:t>, 91 F.3d 677 (5</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1996); </w:t>
      </w:r>
      <w:r w:rsidRPr="00E40245">
        <w:rPr>
          <w:rFonts w:ascii="Times New Roman" w:eastAsia="Arial" w:hAnsi="Times New Roman" w:cs="Times New Roman"/>
          <w:i/>
          <w:sz w:val="26"/>
          <w:szCs w:val="26"/>
        </w:rPr>
        <w:t>United States v. Taylor</w:t>
      </w:r>
      <w:r w:rsidRPr="00503874">
        <w:rPr>
          <w:rFonts w:ascii="Times New Roman" w:eastAsia="Arial" w:hAnsi="Times New Roman" w:cs="Times New Roman"/>
          <w:sz w:val="26"/>
          <w:szCs w:val="26"/>
        </w:rPr>
        <w:t>, 66 F.3d 254, 255 (9</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1995); </w:t>
      </w:r>
      <w:r w:rsidRPr="00E40245">
        <w:rPr>
          <w:rFonts w:ascii="Times New Roman" w:eastAsia="Arial" w:hAnsi="Times New Roman" w:cs="Times New Roman"/>
          <w:i/>
          <w:sz w:val="26"/>
          <w:szCs w:val="26"/>
        </w:rPr>
        <w:t>United States v. Parsons</w:t>
      </w:r>
      <w:r w:rsidRPr="00503874">
        <w:rPr>
          <w:rFonts w:ascii="Times New Roman" w:eastAsia="Arial" w:hAnsi="Times New Roman" w:cs="Times New Roman"/>
          <w:sz w:val="26"/>
          <w:szCs w:val="26"/>
        </w:rPr>
        <w:t>, 967 F.2d 452, 455 (10</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1992); </w:t>
      </w:r>
      <w:r w:rsidRPr="00E40245">
        <w:rPr>
          <w:rFonts w:ascii="Times New Roman" w:eastAsia="Arial" w:hAnsi="Times New Roman" w:cs="Times New Roman"/>
          <w:i/>
          <w:sz w:val="26"/>
          <w:szCs w:val="26"/>
        </w:rPr>
        <w:t>United States v. Elkin</w:t>
      </w:r>
      <w:r w:rsidRPr="00503874">
        <w:rPr>
          <w:rFonts w:ascii="Times New Roman" w:eastAsia="Arial" w:hAnsi="Times New Roman" w:cs="Times New Roman"/>
          <w:sz w:val="26"/>
          <w:szCs w:val="26"/>
        </w:rPr>
        <w:t>, 731 F.2d 1005, 1009 (2</w:t>
      </w:r>
      <w:r w:rsidRPr="00503874">
        <w:rPr>
          <w:rFonts w:ascii="Times New Roman" w:eastAsia="Arial" w:hAnsi="Times New Roman" w:cs="Times New Roman"/>
          <w:sz w:val="26"/>
          <w:szCs w:val="26"/>
          <w:vertAlign w:val="superscript"/>
        </w:rPr>
        <w:t>nd</w:t>
      </w:r>
      <w:r w:rsidRPr="00503874">
        <w:rPr>
          <w:rFonts w:ascii="Times New Roman" w:eastAsia="Arial" w:hAnsi="Times New Roman" w:cs="Times New Roman"/>
          <w:sz w:val="26"/>
          <w:szCs w:val="26"/>
        </w:rPr>
        <w:t xml:space="preserve"> Cir. 1984), </w:t>
      </w:r>
      <w:r w:rsidRPr="00E40245">
        <w:rPr>
          <w:rFonts w:ascii="Times New Roman" w:eastAsia="Arial" w:hAnsi="Times New Roman" w:cs="Times New Roman"/>
          <w:i/>
          <w:sz w:val="26"/>
          <w:szCs w:val="26"/>
        </w:rPr>
        <w:t>cert. denied</w:t>
      </w:r>
      <w:r w:rsidRPr="00503874">
        <w:rPr>
          <w:rFonts w:ascii="Times New Roman" w:eastAsia="Arial" w:hAnsi="Times New Roman" w:cs="Times New Roman"/>
          <w:sz w:val="26"/>
          <w:szCs w:val="26"/>
        </w:rPr>
        <w:t>, 469 U.S. 822, 105 S. Ct. 97, 83 L.</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Ed.</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2d 43 (1984).</w:t>
      </w:r>
    </w:p>
    <w:p w:rsidR="008E7C9B" w:rsidRPr="00503874" w:rsidRDefault="008E7C9B" w:rsidP="008E7C9B">
      <w:pPr>
        <w:spacing w:after="0" w:line="240" w:lineRule="auto"/>
        <w:jc w:val="both"/>
        <w:rPr>
          <w:rFonts w:ascii="Times New Roman" w:eastAsia="Arial" w:hAnsi="Times New Roman" w:cs="Times New Roman"/>
          <w:sz w:val="26"/>
          <w:szCs w:val="26"/>
        </w:rPr>
      </w:pPr>
    </w:p>
    <w:p w:rsidR="008E7C9B" w:rsidRPr="00503874" w:rsidRDefault="008E7C9B" w:rsidP="008E7C9B">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The Eleventh Circuit had explicitly avoided deciding whether materiality is an element under 18 U.S.C. § 287. </w:t>
      </w:r>
      <w:r w:rsidRPr="00E40245">
        <w:rPr>
          <w:rFonts w:ascii="Times New Roman" w:eastAsia="Arial" w:hAnsi="Times New Roman" w:cs="Times New Roman"/>
          <w:i/>
          <w:sz w:val="26"/>
          <w:szCs w:val="26"/>
        </w:rPr>
        <w:t>United States v. White</w:t>
      </w:r>
      <w:r w:rsidRPr="00503874">
        <w:rPr>
          <w:rFonts w:ascii="Times New Roman" w:eastAsia="Arial" w:hAnsi="Times New Roman" w:cs="Times New Roman"/>
          <w:sz w:val="26"/>
          <w:szCs w:val="26"/>
        </w:rPr>
        <w:t>, 27 F.3d 1531, 1535 (11</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1994).</w:t>
      </w:r>
    </w:p>
    <w:p w:rsidR="008E7C9B" w:rsidRPr="00503874" w:rsidRDefault="008E7C9B" w:rsidP="008E7C9B">
      <w:pPr>
        <w:spacing w:after="0" w:line="240" w:lineRule="auto"/>
        <w:jc w:val="both"/>
        <w:rPr>
          <w:rFonts w:ascii="Times New Roman" w:eastAsia="Arial" w:hAnsi="Times New Roman" w:cs="Times New Roman"/>
          <w:sz w:val="26"/>
          <w:szCs w:val="26"/>
        </w:rPr>
      </w:pPr>
    </w:p>
    <w:p w:rsidR="008E7C9B" w:rsidRPr="00503874" w:rsidRDefault="008E7C9B" w:rsidP="008E7C9B">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However, because the statute expressly incorporates the term “fraudulent” in conjunction with the term “false,” the Committee believes that materiality is an essential element of the offense that must be submitted to the jury under the more recent Supreme Court decisions in </w:t>
      </w:r>
      <w:r w:rsidRPr="00E40245">
        <w:rPr>
          <w:rFonts w:ascii="Times New Roman" w:eastAsia="Arial" w:hAnsi="Times New Roman" w:cs="Times New Roman"/>
          <w:i/>
          <w:sz w:val="26"/>
          <w:szCs w:val="26"/>
        </w:rPr>
        <w:t>United States v. Gaudin</w:t>
      </w:r>
      <w:r w:rsidRPr="00503874">
        <w:rPr>
          <w:rFonts w:ascii="Times New Roman" w:eastAsia="Arial" w:hAnsi="Times New Roman" w:cs="Times New Roman"/>
          <w:sz w:val="26"/>
          <w:szCs w:val="26"/>
        </w:rPr>
        <w:t xml:space="preserve">, 515 U.S. 506, 115 S. Ct. 2310 (1995); </w:t>
      </w:r>
      <w:r w:rsidRPr="00E40245">
        <w:rPr>
          <w:rFonts w:ascii="Times New Roman" w:eastAsia="Arial" w:hAnsi="Times New Roman" w:cs="Times New Roman"/>
          <w:i/>
          <w:sz w:val="26"/>
          <w:szCs w:val="26"/>
        </w:rPr>
        <w:t>United States v. Wells</w:t>
      </w:r>
      <w:r w:rsidRPr="00503874">
        <w:rPr>
          <w:rFonts w:ascii="Times New Roman" w:eastAsia="Arial" w:hAnsi="Times New Roman" w:cs="Times New Roman"/>
          <w:sz w:val="26"/>
          <w:szCs w:val="26"/>
        </w:rPr>
        <w:t xml:space="preserve">, 519 U.S. 482, 117 S. Ct. 921 (1997); and </w:t>
      </w:r>
      <w:r w:rsidRPr="00E40245">
        <w:rPr>
          <w:rFonts w:ascii="Times New Roman" w:eastAsia="Arial" w:hAnsi="Times New Roman" w:cs="Times New Roman"/>
          <w:i/>
          <w:sz w:val="26"/>
          <w:szCs w:val="26"/>
        </w:rPr>
        <w:t>Neder v. United States</w:t>
      </w:r>
      <w:r w:rsidRPr="00503874">
        <w:rPr>
          <w:rFonts w:ascii="Times New Roman" w:eastAsia="Arial" w:hAnsi="Times New Roman" w:cs="Times New Roman"/>
          <w:sz w:val="26"/>
          <w:szCs w:val="26"/>
        </w:rPr>
        <w:t xml:space="preserve">, 527 U.S. 1, 119 S. Ct. 1827 (1999). The Court concluded in </w:t>
      </w:r>
      <w:r w:rsidRPr="00E40245">
        <w:rPr>
          <w:rFonts w:ascii="Times New Roman" w:eastAsia="Arial" w:hAnsi="Times New Roman" w:cs="Times New Roman"/>
          <w:i/>
          <w:sz w:val="26"/>
          <w:szCs w:val="26"/>
        </w:rPr>
        <w:t>Wells</w:t>
      </w:r>
      <w:r w:rsidRPr="00503874">
        <w:rPr>
          <w:rFonts w:ascii="Times New Roman" w:eastAsia="Arial" w:hAnsi="Times New Roman" w:cs="Times New Roman"/>
          <w:sz w:val="26"/>
          <w:szCs w:val="26"/>
        </w:rPr>
        <w:t xml:space="preserve"> that materiality was not an element of the offense of making a “false statement” in violation of 18 U.S.C. § 1014, but held in </w:t>
      </w:r>
      <w:r w:rsidRPr="00E40245">
        <w:rPr>
          <w:rFonts w:ascii="Times New Roman" w:eastAsia="Arial" w:hAnsi="Times New Roman" w:cs="Times New Roman"/>
          <w:i/>
          <w:sz w:val="26"/>
          <w:szCs w:val="26"/>
        </w:rPr>
        <w:t>Neder</w:t>
      </w:r>
      <w:r w:rsidRPr="00503874">
        <w:rPr>
          <w:rFonts w:ascii="Times New Roman" w:eastAsia="Arial" w:hAnsi="Times New Roman" w:cs="Times New Roman"/>
          <w:sz w:val="26"/>
          <w:szCs w:val="26"/>
        </w:rPr>
        <w:t xml:space="preserve"> that use of the words “fraud” or “fraudulently” as terms of art in 18 U.S.C. §§ 1341, 1343 and 1344 incorporated the common law requirement that proof of fraud necessitates proof of misrepresentation or concealment of a material fact. And </w:t>
      </w:r>
      <w:r w:rsidRPr="00E40245">
        <w:rPr>
          <w:rFonts w:ascii="Times New Roman" w:eastAsia="Arial" w:hAnsi="Times New Roman" w:cs="Times New Roman"/>
          <w:i/>
          <w:sz w:val="26"/>
          <w:szCs w:val="26"/>
        </w:rPr>
        <w:t>Gaudin</w:t>
      </w:r>
      <w:r w:rsidRPr="00503874">
        <w:rPr>
          <w:rFonts w:ascii="Times New Roman" w:eastAsia="Arial" w:hAnsi="Times New Roman" w:cs="Times New Roman"/>
          <w:sz w:val="26"/>
          <w:szCs w:val="26"/>
        </w:rPr>
        <w:t xml:space="preserve"> held that when materiality is an essential element of an offense, it must be submitted to the jury.</w:t>
      </w:r>
    </w:p>
    <w:p w:rsidR="008E7C9B" w:rsidRPr="00503874" w:rsidRDefault="008E7C9B" w:rsidP="008E7C9B">
      <w:pPr>
        <w:spacing w:after="0" w:line="240" w:lineRule="auto"/>
        <w:jc w:val="both"/>
        <w:rPr>
          <w:rFonts w:ascii="Times New Roman" w:eastAsia="Arial" w:hAnsi="Times New Roman" w:cs="Times New Roman"/>
          <w:sz w:val="26"/>
          <w:szCs w:val="26"/>
        </w:rPr>
      </w:pPr>
    </w:p>
    <w:p w:rsidR="00725167" w:rsidRPr="008E7C9B" w:rsidRDefault="008E7C9B" w:rsidP="008E7C9B">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With respect to the additional language provided in this instruction for claims submitted to third parties, the Committee relies on the following authorities. </w:t>
      </w:r>
      <w:r w:rsidRPr="00E40245">
        <w:rPr>
          <w:rFonts w:ascii="Times New Roman" w:eastAsia="Arial" w:hAnsi="Times New Roman" w:cs="Times New Roman"/>
          <w:i/>
          <w:sz w:val="26"/>
          <w:szCs w:val="26"/>
        </w:rPr>
        <w:t xml:space="preserve">United States v. </w:t>
      </w:r>
      <w:r w:rsidRPr="00E40245">
        <w:rPr>
          <w:rFonts w:ascii="Times New Roman" w:eastAsia="Arial" w:hAnsi="Times New Roman" w:cs="Times New Roman"/>
          <w:i/>
          <w:sz w:val="26"/>
          <w:szCs w:val="26"/>
        </w:rPr>
        <w:lastRenderedPageBreak/>
        <w:t>Precision Med. Labs, Inc.</w:t>
      </w:r>
      <w:r w:rsidRPr="00503874">
        <w:rPr>
          <w:rFonts w:ascii="Times New Roman" w:eastAsia="Arial" w:hAnsi="Times New Roman" w:cs="Times New Roman"/>
          <w:sz w:val="26"/>
          <w:szCs w:val="26"/>
        </w:rPr>
        <w:t>, 593 F.2d 434, 442-43 (2</w:t>
      </w:r>
      <w:r w:rsidRPr="00503874">
        <w:rPr>
          <w:rFonts w:ascii="Times New Roman" w:eastAsia="Arial" w:hAnsi="Times New Roman" w:cs="Times New Roman"/>
          <w:sz w:val="26"/>
          <w:szCs w:val="26"/>
          <w:vertAlign w:val="superscript"/>
        </w:rPr>
        <w:t>nd</w:t>
      </w:r>
      <w:r w:rsidRPr="00503874">
        <w:rPr>
          <w:rFonts w:ascii="Times New Roman" w:eastAsia="Arial" w:hAnsi="Times New Roman" w:cs="Times New Roman"/>
          <w:sz w:val="26"/>
          <w:szCs w:val="26"/>
        </w:rPr>
        <w:t xml:space="preserve"> Cir. 1978); </w:t>
      </w:r>
      <w:r w:rsidRPr="00E40245">
        <w:rPr>
          <w:rFonts w:ascii="Times New Roman" w:eastAsia="Arial" w:hAnsi="Times New Roman" w:cs="Times New Roman"/>
          <w:i/>
          <w:sz w:val="26"/>
          <w:szCs w:val="26"/>
        </w:rPr>
        <w:t>United States v. Catena</w:t>
      </w:r>
      <w:r>
        <w:rPr>
          <w:rFonts w:ascii="Times New Roman" w:eastAsia="Arial" w:hAnsi="Times New Roman" w:cs="Times New Roman"/>
          <w:sz w:val="26"/>
          <w:szCs w:val="26"/>
        </w:rPr>
        <w:t>, 500 F.</w:t>
      </w:r>
      <w:r w:rsidRPr="00503874">
        <w:rPr>
          <w:rFonts w:ascii="Times New Roman" w:eastAsia="Arial" w:hAnsi="Times New Roman" w:cs="Times New Roman"/>
          <w:sz w:val="26"/>
          <w:szCs w:val="26"/>
        </w:rPr>
        <w:t>2d 1319 (3</w:t>
      </w:r>
      <w:r w:rsidRPr="00503874">
        <w:rPr>
          <w:rFonts w:ascii="Times New Roman" w:eastAsia="Arial" w:hAnsi="Times New Roman" w:cs="Times New Roman"/>
          <w:sz w:val="26"/>
          <w:szCs w:val="26"/>
          <w:vertAlign w:val="superscript"/>
        </w:rPr>
        <w:t>rd</w:t>
      </w:r>
      <w:r w:rsidRPr="00503874">
        <w:rPr>
          <w:rFonts w:ascii="Times New Roman" w:eastAsia="Arial" w:hAnsi="Times New Roman" w:cs="Times New Roman"/>
          <w:sz w:val="26"/>
          <w:szCs w:val="26"/>
        </w:rPr>
        <w:t xml:space="preserve"> Cir. 1974), </w:t>
      </w:r>
      <w:r w:rsidRPr="00E40245">
        <w:rPr>
          <w:rFonts w:ascii="Times New Roman" w:eastAsia="Arial" w:hAnsi="Times New Roman" w:cs="Times New Roman"/>
          <w:sz w:val="26"/>
          <w:szCs w:val="26"/>
        </w:rPr>
        <w:t>cert. denied</w:t>
      </w:r>
      <w:r w:rsidRPr="00503874">
        <w:rPr>
          <w:rFonts w:ascii="Times New Roman" w:eastAsia="Arial" w:hAnsi="Times New Roman" w:cs="Times New Roman"/>
          <w:sz w:val="26"/>
          <w:szCs w:val="26"/>
        </w:rPr>
        <w:t xml:space="preserve">, 419 U.S. 1047 (1974). </w:t>
      </w:r>
      <w:r w:rsidRPr="00E40245">
        <w:rPr>
          <w:rFonts w:ascii="Times New Roman" w:eastAsia="Arial" w:hAnsi="Times New Roman" w:cs="Times New Roman"/>
          <w:i/>
          <w:sz w:val="26"/>
          <w:szCs w:val="26"/>
        </w:rPr>
        <w:t>See generally</w:t>
      </w:r>
      <w:r w:rsidRPr="00503874">
        <w:rPr>
          <w:rFonts w:ascii="Times New Roman" w:eastAsia="Arial" w:hAnsi="Times New Roman" w:cs="Times New Roman"/>
          <w:sz w:val="26"/>
          <w:szCs w:val="26"/>
        </w:rPr>
        <w:t xml:space="preserve"> 18 U.S.C. § 2(b). </w:t>
      </w:r>
      <w:r w:rsidRPr="00E40245">
        <w:rPr>
          <w:rFonts w:ascii="Times New Roman" w:eastAsia="Arial" w:hAnsi="Times New Roman" w:cs="Times New Roman"/>
          <w:i/>
          <w:sz w:val="26"/>
          <w:szCs w:val="26"/>
        </w:rPr>
        <w:t>See also United States ex rel. Marcus v. Hess</w:t>
      </w:r>
      <w:r w:rsidRPr="00503874">
        <w:rPr>
          <w:rFonts w:ascii="Times New Roman" w:eastAsia="Arial" w:hAnsi="Times New Roman" w:cs="Times New Roman"/>
          <w:sz w:val="26"/>
          <w:szCs w:val="26"/>
        </w:rPr>
        <w:t xml:space="preserve">, 317 U.S. 537 (1943) (interpreting R.S. § 5438, forerunner of 18 U.S.C. § 287); </w:t>
      </w:r>
      <w:r w:rsidRPr="00E40245">
        <w:rPr>
          <w:rFonts w:ascii="Times New Roman" w:eastAsia="Arial" w:hAnsi="Times New Roman" w:cs="Times New Roman"/>
          <w:i/>
          <w:sz w:val="26"/>
          <w:szCs w:val="26"/>
        </w:rPr>
        <w:t>United States v. Beasley</w:t>
      </w:r>
      <w:r w:rsidRPr="00503874">
        <w:rPr>
          <w:rFonts w:ascii="Times New Roman" w:eastAsia="Arial" w:hAnsi="Times New Roman" w:cs="Times New Roman"/>
          <w:sz w:val="26"/>
          <w:szCs w:val="26"/>
        </w:rPr>
        <w:t>, 550 F.2d 261 (5</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1977), </w:t>
      </w:r>
      <w:r w:rsidRPr="00E40245">
        <w:rPr>
          <w:rFonts w:ascii="Times New Roman" w:eastAsia="Arial" w:hAnsi="Times New Roman" w:cs="Times New Roman"/>
          <w:i/>
          <w:sz w:val="26"/>
          <w:szCs w:val="26"/>
        </w:rPr>
        <w:t>cert. denied</w:t>
      </w:r>
      <w:r w:rsidRPr="00503874">
        <w:rPr>
          <w:rFonts w:ascii="Times New Roman" w:eastAsia="Arial" w:hAnsi="Times New Roman" w:cs="Times New Roman"/>
          <w:sz w:val="26"/>
          <w:szCs w:val="26"/>
        </w:rPr>
        <w:t>, 434 U.S. 938 (1977).</w:t>
      </w:r>
      <w:bookmarkEnd w:id="0"/>
    </w:p>
    <w:sectPr w:rsidR="00725167" w:rsidRPr="008E7C9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472" w:rsidRDefault="00392472" w:rsidP="00392472">
      <w:pPr>
        <w:spacing w:after="0" w:line="240" w:lineRule="auto"/>
      </w:pPr>
      <w:r>
        <w:separator/>
      </w:r>
    </w:p>
  </w:endnote>
  <w:endnote w:type="continuationSeparator" w:id="0">
    <w:p w:rsidR="00392472" w:rsidRDefault="00392472" w:rsidP="00392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472" w:rsidRDefault="00392472" w:rsidP="00392472">
      <w:pPr>
        <w:spacing w:after="0" w:line="240" w:lineRule="auto"/>
      </w:pPr>
      <w:r>
        <w:separator/>
      </w:r>
    </w:p>
  </w:footnote>
  <w:footnote w:type="continuationSeparator" w:id="0">
    <w:p w:rsidR="00392472" w:rsidRDefault="00392472" w:rsidP="003924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3583F"/>
    <w:rsid w:val="00091548"/>
    <w:rsid w:val="000C32C1"/>
    <w:rsid w:val="001217D5"/>
    <w:rsid w:val="00135397"/>
    <w:rsid w:val="00157747"/>
    <w:rsid w:val="00194E82"/>
    <w:rsid w:val="001E5B53"/>
    <w:rsid w:val="00236275"/>
    <w:rsid w:val="00245EF2"/>
    <w:rsid w:val="002604B9"/>
    <w:rsid w:val="003067A0"/>
    <w:rsid w:val="00392472"/>
    <w:rsid w:val="003A75E9"/>
    <w:rsid w:val="00406A43"/>
    <w:rsid w:val="004C148A"/>
    <w:rsid w:val="00503A01"/>
    <w:rsid w:val="00511CE4"/>
    <w:rsid w:val="0056064A"/>
    <w:rsid w:val="005C4DB9"/>
    <w:rsid w:val="00615301"/>
    <w:rsid w:val="006179FB"/>
    <w:rsid w:val="00632C46"/>
    <w:rsid w:val="006B1FC0"/>
    <w:rsid w:val="00725167"/>
    <w:rsid w:val="00780FDD"/>
    <w:rsid w:val="00783A2A"/>
    <w:rsid w:val="007C4B9C"/>
    <w:rsid w:val="0081575C"/>
    <w:rsid w:val="008B4118"/>
    <w:rsid w:val="008C025F"/>
    <w:rsid w:val="008E4BA2"/>
    <w:rsid w:val="008E7C9B"/>
    <w:rsid w:val="00940D6E"/>
    <w:rsid w:val="009458BA"/>
    <w:rsid w:val="009745AC"/>
    <w:rsid w:val="009F5DAD"/>
    <w:rsid w:val="00A355FD"/>
    <w:rsid w:val="00A66EA6"/>
    <w:rsid w:val="00AA01A6"/>
    <w:rsid w:val="00AC24E2"/>
    <w:rsid w:val="00AE20D4"/>
    <w:rsid w:val="00AF2C77"/>
    <w:rsid w:val="00B111CD"/>
    <w:rsid w:val="00B85D99"/>
    <w:rsid w:val="00B930F5"/>
    <w:rsid w:val="00BA1F2B"/>
    <w:rsid w:val="00BD01A4"/>
    <w:rsid w:val="00BE645C"/>
    <w:rsid w:val="00CC4195"/>
    <w:rsid w:val="00CD51F7"/>
    <w:rsid w:val="00CD734E"/>
    <w:rsid w:val="00CE7DC5"/>
    <w:rsid w:val="00CF4F9A"/>
    <w:rsid w:val="00D163A7"/>
    <w:rsid w:val="00D7262F"/>
    <w:rsid w:val="00DA00D9"/>
    <w:rsid w:val="00DC18AE"/>
    <w:rsid w:val="00DE7E97"/>
    <w:rsid w:val="00DE7F68"/>
    <w:rsid w:val="00E109DF"/>
    <w:rsid w:val="00E20CB0"/>
    <w:rsid w:val="00E31401"/>
    <w:rsid w:val="00E40245"/>
    <w:rsid w:val="00E419F1"/>
    <w:rsid w:val="00E42DFC"/>
    <w:rsid w:val="00E627E0"/>
    <w:rsid w:val="00E85563"/>
    <w:rsid w:val="00EB1384"/>
    <w:rsid w:val="00F27B7F"/>
    <w:rsid w:val="00FA4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3924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472"/>
  </w:style>
  <w:style w:type="paragraph" w:styleId="Footer">
    <w:name w:val="footer"/>
    <w:basedOn w:val="Normal"/>
    <w:link w:val="FooterChar"/>
    <w:uiPriority w:val="99"/>
    <w:unhideWhenUsed/>
    <w:rsid w:val="003924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24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3924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472"/>
  </w:style>
  <w:style w:type="paragraph" w:styleId="Footer">
    <w:name w:val="footer"/>
    <w:basedOn w:val="Normal"/>
    <w:link w:val="FooterChar"/>
    <w:uiPriority w:val="99"/>
    <w:unhideWhenUsed/>
    <w:rsid w:val="003924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2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2623</Characters>
  <Application>Microsoft Office Word</Application>
  <DocSecurity>0</DocSecurity>
  <Lines>21</Lines>
  <Paragraphs>6</Paragraphs>
  <ScaleCrop>false</ScaleCrop>
  <LinksUpToDate>false</LinksUpToDate>
  <CharactersWithSpaces>3077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2014-03-31T23:18:00Z</dcterms:created>
  <dcterms:modified xsi:type="dcterms:W3CDTF">2014-06-19T14:35:00Z</dcterms:modified>
</cp:coreProperties>
</file>