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89" w:rsidRDefault="00042789" w:rsidP="00042789">
      <w:pPr>
        <w:spacing w:after="0" w:line="240" w:lineRule="auto"/>
        <w:jc w:val="both"/>
        <w:rPr>
          <w:rFonts w:ascii="Times New Roman" w:eastAsia="Arial" w:hAnsi="Times New Roman"/>
          <w:sz w:val="26"/>
          <w:szCs w:val="26"/>
        </w:rPr>
      </w:pPr>
      <w:bookmarkStart w:id="0" w:name="_GoBack"/>
      <w:bookmarkEnd w:id="0"/>
      <w:r>
        <w:rPr>
          <w:rFonts w:ascii="Times New Roman" w:eastAsia="Arial" w:hAnsi="Times New Roman"/>
          <w:b/>
          <w:sz w:val="26"/>
          <w:szCs w:val="26"/>
          <w:u w:val="single"/>
        </w:rPr>
        <w:t>ANNOTATIONS AND COMMENTS</w:t>
      </w:r>
    </w:p>
    <w:p w:rsidR="00042789" w:rsidRDefault="00042789" w:rsidP="00042789">
      <w:pPr>
        <w:spacing w:after="0" w:line="240" w:lineRule="auto"/>
        <w:jc w:val="both"/>
        <w:rPr>
          <w:rFonts w:ascii="Times New Roman" w:eastAsia="Arial" w:hAnsi="Times New Roman"/>
          <w:sz w:val="26"/>
          <w:szCs w:val="26"/>
        </w:rPr>
      </w:pPr>
    </w:p>
    <w:p w:rsidR="00042789" w:rsidRDefault="00042789" w:rsidP="00042789">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26 U.S.C. </w:t>
      </w:r>
      <w:r>
        <w:rPr>
          <w:rFonts w:ascii="Times New Roman" w:eastAsia="Arial" w:hAnsi="Times New Roman" w:cs="Times New Roman"/>
          <w:sz w:val="26"/>
          <w:szCs w:val="26"/>
        </w:rPr>
        <w:t>§</w:t>
      </w:r>
      <w:r>
        <w:rPr>
          <w:rFonts w:ascii="Times New Roman" w:eastAsia="Arial" w:hAnsi="Times New Roman"/>
          <w:sz w:val="26"/>
          <w:szCs w:val="26"/>
        </w:rPr>
        <w:t xml:space="preserve"> 7207 provides:</w:t>
      </w:r>
    </w:p>
    <w:p w:rsidR="00042789" w:rsidRDefault="00042789" w:rsidP="00042789">
      <w:pPr>
        <w:spacing w:after="0" w:line="240" w:lineRule="auto"/>
        <w:jc w:val="both"/>
        <w:rPr>
          <w:rFonts w:ascii="Times New Roman" w:eastAsia="Arial" w:hAnsi="Times New Roman"/>
          <w:sz w:val="26"/>
          <w:szCs w:val="26"/>
        </w:rPr>
      </w:pPr>
    </w:p>
    <w:p w:rsidR="00042789" w:rsidRDefault="00042789" w:rsidP="00042789">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Any person who willfully delivers or discloses to the Secretary [of the Treasury] any list, return, account, statement, or other document, known by him to be fraudulent or to be false as to any material matter, [shall be guilty of a crime against the United States]. Any person required pursuant to section 6047</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section 6104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t xml:space="preserve">, or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9 </w:instrText>
      </w:r>
      <w:r>
        <w:rPr>
          <w:rFonts w:ascii="Times New Roman" w:eastAsia="Arial" w:hAnsi="Times New Roman"/>
          <w:sz w:val="26"/>
          <w:szCs w:val="26"/>
        </w:rPr>
        <w:fldChar w:fldCharType="end"/>
      </w:r>
      <w:r>
        <w:rPr>
          <w:rFonts w:ascii="Times New Roman" w:eastAsia="Arial" w:hAnsi="Times New Roman"/>
          <w:sz w:val="26"/>
          <w:szCs w:val="26"/>
        </w:rPr>
        <w:t xml:space="preserve"> or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10. </w:instrText>
      </w:r>
      <w:r>
        <w:rPr>
          <w:rFonts w:ascii="Times New Roman" w:eastAsia="Arial" w:hAnsi="Times New Roman"/>
          <w:sz w:val="26"/>
          <w:szCs w:val="26"/>
        </w:rPr>
        <w:fldChar w:fldCharType="end"/>
      </w:r>
      <w:r>
        <w:rPr>
          <w:rFonts w:ascii="Times New Roman" w:eastAsia="Arial" w:hAnsi="Times New Roman"/>
          <w:sz w:val="26"/>
          <w:szCs w:val="26"/>
        </w:rPr>
        <w:t xml:space="preserve"> of section 527 to furnish any information to the Secretary or any other person who willfully furnishes to the Secretary or such other person any information known by him to be fraudulent or to be false as to any material matter [shall be guilty of a crime against the United States].</w:t>
      </w:r>
    </w:p>
    <w:p w:rsidR="00042789" w:rsidRDefault="00042789" w:rsidP="00042789">
      <w:pPr>
        <w:spacing w:after="0" w:line="240" w:lineRule="auto"/>
        <w:jc w:val="both"/>
        <w:rPr>
          <w:rFonts w:ascii="Times New Roman" w:eastAsia="Arial" w:hAnsi="Times New Roman" w:cs="Times New Roman"/>
          <w:sz w:val="26"/>
          <w:szCs w:val="26"/>
        </w:rPr>
      </w:pPr>
    </w:p>
    <w:p w:rsidR="00042789" w:rsidRDefault="00042789" w:rsidP="00042789">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One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 imprisonment and $10,000 fine (or $50,000 in the case of a corporation). See 26 U.S.C. § 7207 and 18 U.S.C. § 3571.</w:t>
      </w:r>
    </w:p>
    <w:p w:rsidR="00042789" w:rsidRDefault="00042789" w:rsidP="00042789">
      <w:pPr>
        <w:spacing w:after="0" w:line="240" w:lineRule="auto"/>
        <w:jc w:val="both"/>
        <w:rPr>
          <w:rFonts w:ascii="Times New Roman" w:eastAsia="Arial" w:hAnsi="Times New Roman" w:cs="Times New Roman"/>
          <w:sz w:val="26"/>
          <w:szCs w:val="26"/>
        </w:rPr>
      </w:pPr>
    </w:p>
    <w:p w:rsidR="00042789" w:rsidRDefault="00042789" w:rsidP="00042789">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issue of “materiality” is for the jury, not the Court. </w:t>
      </w:r>
      <w:proofErr w:type="gramStart"/>
      <w:r w:rsidRPr="000C4857">
        <w:rPr>
          <w:rFonts w:ascii="Times New Roman" w:eastAsia="Arial" w:hAnsi="Times New Roman" w:cs="Times New Roman"/>
          <w:i/>
          <w:sz w:val="26"/>
          <w:szCs w:val="26"/>
        </w:rPr>
        <w:t xml:space="preserve">United States v. </w:t>
      </w:r>
      <w:proofErr w:type="spellStart"/>
      <w:r w:rsidRPr="000C4857">
        <w:rPr>
          <w:rFonts w:ascii="Times New Roman" w:eastAsia="Arial" w:hAnsi="Times New Roman" w:cs="Times New Roman"/>
          <w:i/>
          <w:sz w:val="26"/>
          <w:szCs w:val="26"/>
        </w:rPr>
        <w:t>Gaudin</w:t>
      </w:r>
      <w:proofErr w:type="spellEnd"/>
      <w:r>
        <w:rPr>
          <w:rFonts w:ascii="Times New Roman" w:eastAsia="Arial" w:hAnsi="Times New Roman" w:cs="Times New Roman"/>
          <w:sz w:val="26"/>
          <w:szCs w:val="26"/>
        </w:rPr>
        <w:t>, 515 U.S. 506, 115 S. Ct. 2310, 132 L. Ed. 2d 444 (1995).</w:t>
      </w:r>
      <w:proofErr w:type="gramEnd"/>
      <w:r>
        <w:rPr>
          <w:rFonts w:ascii="Times New Roman" w:eastAsia="Arial" w:hAnsi="Times New Roman" w:cs="Times New Roman"/>
          <w:sz w:val="26"/>
          <w:szCs w:val="26"/>
        </w:rPr>
        <w:t xml:space="preserve"> It is not necessary, however, for the Government to prove that any additional tax was due. </w:t>
      </w:r>
      <w:proofErr w:type="spellStart"/>
      <w:proofErr w:type="gramStart"/>
      <w:r w:rsidRPr="000C4857">
        <w:rPr>
          <w:rFonts w:ascii="Times New Roman" w:eastAsia="Arial" w:hAnsi="Times New Roman" w:cs="Times New Roman"/>
          <w:i/>
          <w:sz w:val="26"/>
          <w:szCs w:val="26"/>
        </w:rPr>
        <w:t>Boulware</w:t>
      </w:r>
      <w:proofErr w:type="spellEnd"/>
      <w:r w:rsidRPr="000C4857">
        <w:rPr>
          <w:rFonts w:ascii="Times New Roman" w:eastAsia="Arial" w:hAnsi="Times New Roman" w:cs="Times New Roman"/>
          <w:i/>
          <w:sz w:val="26"/>
          <w:szCs w:val="26"/>
        </w:rPr>
        <w:t xml:space="preserve"> v. United States</w:t>
      </w:r>
      <w:r>
        <w:rPr>
          <w:rFonts w:ascii="Times New Roman" w:eastAsia="Arial" w:hAnsi="Times New Roman" w:cs="Times New Roman"/>
          <w:sz w:val="26"/>
          <w:szCs w:val="26"/>
        </w:rPr>
        <w:t>, 552 U.S. 421, 128 S. Ct. 1168, 1178 n.2 (2008).</w:t>
      </w:r>
      <w:proofErr w:type="gramEnd"/>
    </w:p>
    <w:p w:rsidR="00042789" w:rsidRDefault="00042789" w:rsidP="00042789">
      <w:pPr>
        <w:spacing w:after="0" w:line="240" w:lineRule="auto"/>
        <w:jc w:val="both"/>
        <w:rPr>
          <w:rFonts w:ascii="Times New Roman" w:eastAsia="Arial" w:hAnsi="Times New Roman" w:cs="Times New Roman"/>
          <w:sz w:val="26"/>
          <w:szCs w:val="26"/>
        </w:rPr>
      </w:pPr>
    </w:p>
    <w:p w:rsidR="00042789" w:rsidRDefault="00042789" w:rsidP="00042789">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When a defendant asserts a “good-faith” defense, the defendant is entitled to the following charge:</w:t>
      </w:r>
    </w:p>
    <w:p w:rsidR="00042789" w:rsidRDefault="00042789" w:rsidP="00042789">
      <w:pPr>
        <w:spacing w:after="0" w:line="240" w:lineRule="auto"/>
        <w:jc w:val="both"/>
        <w:rPr>
          <w:rFonts w:ascii="Times New Roman" w:eastAsia="Arial" w:hAnsi="Times New Roman" w:cs="Times New Roman"/>
          <w:sz w:val="26"/>
          <w:szCs w:val="26"/>
        </w:rPr>
      </w:pPr>
    </w:p>
    <w:p w:rsidR="00042789" w:rsidRDefault="00042789" w:rsidP="008F3229">
      <w:pPr>
        <w:spacing w:after="0" w:line="240" w:lineRule="auto"/>
        <w:ind w:left="360" w:right="360"/>
        <w:jc w:val="both"/>
        <w:rPr>
          <w:rFonts w:ascii="Times New Roman" w:eastAsia="Arial" w:hAnsi="Times New Roman" w:cs="Times New Roman"/>
          <w:sz w:val="26"/>
          <w:szCs w:val="26"/>
        </w:rPr>
      </w:pPr>
      <w:r>
        <w:rPr>
          <w:rFonts w:ascii="Times New Roman" w:eastAsia="Arial" w:hAnsi="Times New Roman" w:cs="Times New Roman"/>
          <w:sz w:val="26"/>
          <w:szCs w:val="26"/>
        </w:rPr>
        <w:t>Good-faith is a complete defense to the charges in the indictment since good faith on the part of the defendant is inconsistent with the charge of tax evasion and the elements of this crime. The Government must establish beyond a reasonable doubt each and every element of the offense. Therefore, if a defendant believes in good-faith that he is acting within the law, he cannot be found guilty of the offense charged in the indictment. This is so even if the defendant’s belief was not objectively reasonable as long as he held the belief in good-faith. Nevertheless, you may consider whether the defendant’s belief about the tax statutes was actually reasonable as a factor in deciding whether he held that belief in good faith.</w:t>
      </w:r>
    </w:p>
    <w:p w:rsidR="00042789" w:rsidRDefault="00042789" w:rsidP="00042789">
      <w:pPr>
        <w:spacing w:after="0" w:line="240" w:lineRule="auto"/>
        <w:jc w:val="both"/>
        <w:rPr>
          <w:rFonts w:ascii="Times New Roman" w:eastAsia="Arial" w:hAnsi="Times New Roman" w:cs="Times New Roman"/>
          <w:sz w:val="26"/>
          <w:szCs w:val="26"/>
        </w:rPr>
      </w:pPr>
    </w:p>
    <w:p w:rsidR="00042789" w:rsidRDefault="00042789" w:rsidP="00042789">
      <w:pPr>
        <w:spacing w:after="0" w:line="240" w:lineRule="auto"/>
        <w:jc w:val="both"/>
        <w:rPr>
          <w:rFonts w:ascii="Times New Roman" w:eastAsia="Arial" w:hAnsi="Times New Roman" w:cs="Times New Roman"/>
          <w:sz w:val="26"/>
          <w:szCs w:val="26"/>
        </w:rPr>
      </w:pPr>
      <w:proofErr w:type="gramStart"/>
      <w:r w:rsidRPr="000C4857">
        <w:rPr>
          <w:rFonts w:ascii="Times New Roman" w:eastAsia="Arial" w:hAnsi="Times New Roman" w:cs="Times New Roman"/>
          <w:i/>
          <w:sz w:val="26"/>
          <w:szCs w:val="26"/>
        </w:rPr>
        <w:t>United States v. Dean</w:t>
      </w:r>
      <w:r>
        <w:rPr>
          <w:rFonts w:ascii="Times New Roman" w:eastAsia="Arial" w:hAnsi="Times New Roman" w:cs="Times New Roman"/>
          <w:sz w:val="26"/>
          <w:szCs w:val="26"/>
        </w:rPr>
        <w:t>, 487 F.3d 840 (11</w:t>
      </w:r>
      <w:r w:rsidRPr="006C33C8">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w:t>
      </w:r>
      <w:proofErr w:type="gramEnd"/>
    </w:p>
    <w:p w:rsidR="00042789" w:rsidRDefault="00042789" w:rsidP="00042789">
      <w:pPr>
        <w:spacing w:after="0" w:line="240" w:lineRule="auto"/>
        <w:jc w:val="both"/>
        <w:rPr>
          <w:rFonts w:ascii="Times New Roman" w:eastAsia="Arial" w:hAnsi="Times New Roman" w:cs="Times New Roman"/>
          <w:sz w:val="26"/>
          <w:szCs w:val="26"/>
        </w:rPr>
      </w:pPr>
    </w:p>
    <w:p w:rsidR="00725167" w:rsidRPr="00042789" w:rsidRDefault="00042789" w:rsidP="00042789">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Section 7207 requires willfulness. A willful violation of § 7207 has been defined as the voluntary, intentional violation of a known legal duty. Since this instruction incorporates this definition of willfulness in its elements, the committee does not believe that it is necessary to also include Basic Instruction 9.1B for this offense.</w:t>
      </w:r>
    </w:p>
    <w:sectPr w:rsidR="00725167" w:rsidRPr="000427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110" w:rsidRDefault="005E3110" w:rsidP="005E3110">
      <w:pPr>
        <w:spacing w:after="0" w:line="240" w:lineRule="auto"/>
      </w:pPr>
      <w:r>
        <w:separator/>
      </w:r>
    </w:p>
  </w:endnote>
  <w:endnote w:type="continuationSeparator" w:id="0">
    <w:p w:rsidR="005E3110" w:rsidRDefault="005E3110" w:rsidP="005E3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110" w:rsidRDefault="005E3110" w:rsidP="005E3110">
      <w:pPr>
        <w:spacing w:after="0" w:line="240" w:lineRule="auto"/>
      </w:pPr>
      <w:r>
        <w:separator/>
      </w:r>
    </w:p>
  </w:footnote>
  <w:footnote w:type="continuationSeparator" w:id="0">
    <w:p w:rsidR="005E3110" w:rsidRDefault="005E3110" w:rsidP="005E31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42789"/>
    <w:rsid w:val="0005723A"/>
    <w:rsid w:val="0006716B"/>
    <w:rsid w:val="00087D55"/>
    <w:rsid w:val="00091548"/>
    <w:rsid w:val="00097C62"/>
    <w:rsid w:val="000A7260"/>
    <w:rsid w:val="000B303C"/>
    <w:rsid w:val="000C1BFC"/>
    <w:rsid w:val="000C32C1"/>
    <w:rsid w:val="000C3F4B"/>
    <w:rsid w:val="000C4857"/>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77C3"/>
    <w:rsid w:val="00212F99"/>
    <w:rsid w:val="002161E7"/>
    <w:rsid w:val="002329BF"/>
    <w:rsid w:val="00233997"/>
    <w:rsid w:val="00236275"/>
    <w:rsid w:val="002455F2"/>
    <w:rsid w:val="00245EF2"/>
    <w:rsid w:val="00246533"/>
    <w:rsid w:val="00260095"/>
    <w:rsid w:val="002604B9"/>
    <w:rsid w:val="00290544"/>
    <w:rsid w:val="00295BA2"/>
    <w:rsid w:val="002B6595"/>
    <w:rsid w:val="002D2202"/>
    <w:rsid w:val="002E24B1"/>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86722"/>
    <w:rsid w:val="005B45D9"/>
    <w:rsid w:val="005C4DB9"/>
    <w:rsid w:val="005E3110"/>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256F"/>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8F1B81"/>
    <w:rsid w:val="008F3229"/>
    <w:rsid w:val="00912D2D"/>
    <w:rsid w:val="0091750A"/>
    <w:rsid w:val="009458BA"/>
    <w:rsid w:val="00970D47"/>
    <w:rsid w:val="009745AC"/>
    <w:rsid w:val="00980E88"/>
    <w:rsid w:val="00995BF7"/>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F36"/>
    <w:rsid w:val="00B8093D"/>
    <w:rsid w:val="00B83F0B"/>
    <w:rsid w:val="00B85D99"/>
    <w:rsid w:val="00B930F5"/>
    <w:rsid w:val="00BA1F2B"/>
    <w:rsid w:val="00BA6680"/>
    <w:rsid w:val="00BC6D90"/>
    <w:rsid w:val="00BD01A4"/>
    <w:rsid w:val="00BE616A"/>
    <w:rsid w:val="00BE645C"/>
    <w:rsid w:val="00BF3DBF"/>
    <w:rsid w:val="00C1091D"/>
    <w:rsid w:val="00C16362"/>
    <w:rsid w:val="00C46411"/>
    <w:rsid w:val="00C60792"/>
    <w:rsid w:val="00C6290E"/>
    <w:rsid w:val="00C67B16"/>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1BEA"/>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B7DEE"/>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5E3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110"/>
  </w:style>
  <w:style w:type="paragraph" w:styleId="Footer">
    <w:name w:val="footer"/>
    <w:basedOn w:val="Normal"/>
    <w:link w:val="FooterChar"/>
    <w:uiPriority w:val="99"/>
    <w:unhideWhenUsed/>
    <w:rsid w:val="005E3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1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5E3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110"/>
  </w:style>
  <w:style w:type="paragraph" w:styleId="Footer">
    <w:name w:val="footer"/>
    <w:basedOn w:val="Normal"/>
    <w:link w:val="FooterChar"/>
    <w:uiPriority w:val="99"/>
    <w:unhideWhenUsed/>
    <w:rsid w:val="005E3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2014-03-31T21:43:00Z</dcterms:created>
  <dcterms:modified xsi:type="dcterms:W3CDTF">2014-06-16T22:36:00Z</dcterms:modified>
</cp:coreProperties>
</file>