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DB876" w14:textId="77777777" w:rsidR="008D7474" w:rsidRPr="00B83CB0" w:rsidRDefault="008D7474" w:rsidP="00BE1E82">
      <w:pPr>
        <w:spacing w:after="200" w:line="240" w:lineRule="auto"/>
        <w:rPr>
          <w:rFonts w:ascii="Times New Roman" w:hAnsi="Times New Roman" w:cs="Times New Roman"/>
          <w:b/>
          <w:bCs/>
          <w:sz w:val="26"/>
          <w:szCs w:val="26"/>
          <w:u w:val="single"/>
        </w:rPr>
      </w:pPr>
      <w:r w:rsidRPr="00B83CB0">
        <w:rPr>
          <w:rFonts w:ascii="Times New Roman" w:hAnsi="Times New Roman" w:cs="Times New Roman"/>
          <w:b/>
          <w:bCs/>
          <w:sz w:val="26"/>
          <w:szCs w:val="26"/>
          <w:u w:val="single"/>
        </w:rPr>
        <w:t>ANNOTATIONS AND COMMENTS</w:t>
      </w:r>
    </w:p>
    <w:p w14:paraId="4F5A917C" w14:textId="77777777" w:rsidR="008D7474" w:rsidRPr="00B83CB0" w:rsidRDefault="008D7474" w:rsidP="00BE1E82">
      <w:pPr>
        <w:spacing w:after="200" w:line="240" w:lineRule="auto"/>
        <w:jc w:val="both"/>
        <w:rPr>
          <w:rFonts w:ascii="Times New Roman" w:hAnsi="Times New Roman" w:cs="Times New Roman"/>
          <w:sz w:val="26"/>
          <w:szCs w:val="26"/>
        </w:rPr>
      </w:pPr>
      <w:r w:rsidRPr="00B83CB0">
        <w:rPr>
          <w:rFonts w:ascii="Times New Roman" w:hAnsi="Times New Roman" w:cs="Times New Roman"/>
          <w:sz w:val="26"/>
          <w:szCs w:val="26"/>
        </w:rPr>
        <w:t>26 U.S.C. § 7212(a) provides:</w:t>
      </w:r>
    </w:p>
    <w:p w14:paraId="608C1D62" w14:textId="77777777" w:rsidR="008D7474" w:rsidRPr="00B83CB0" w:rsidRDefault="008D7474" w:rsidP="00BE1E82">
      <w:pPr>
        <w:spacing w:after="200" w:line="240" w:lineRule="auto"/>
        <w:ind w:left="720" w:right="720"/>
        <w:jc w:val="both"/>
        <w:rPr>
          <w:rFonts w:ascii="Times New Roman" w:hAnsi="Times New Roman" w:cs="Times New Roman"/>
          <w:sz w:val="26"/>
          <w:szCs w:val="26"/>
        </w:rPr>
      </w:pPr>
      <w:r w:rsidRPr="00B83CB0">
        <w:rPr>
          <w:rFonts w:ascii="Times New Roman" w:hAnsi="Times New Roman" w:cs="Times New Roman"/>
          <w:sz w:val="26"/>
          <w:szCs w:val="26"/>
        </w:rPr>
        <w:tab/>
        <w:t>Whoever corruptly or by force or threats of force (including any threatening letter or communication) endeavors to intimidate or impede any officer or employee of the United States acting in an official capacity under this title, or in any other way corruptly or by force or threats of force (including any threatening letter or communication) obstructs or impedes, or endeavors to obstruct or impede, the due administration of this title, [shall be guilty of an offense against the United States]</w:t>
      </w:r>
      <w:r w:rsidRPr="000F58C8">
        <w:rPr>
          <w:rFonts w:ascii="Times New Roman" w:hAnsi="Times New Roman" w:cs="Times New Roman"/>
          <w:sz w:val="26"/>
          <w:szCs w:val="26"/>
        </w:rPr>
        <w:t xml:space="preserve"> . . . . The term “threats of force”, as used in this subsection, means threats of bodily harm to the officer or employee of the United States or to a member of his family.</w:t>
      </w:r>
    </w:p>
    <w:p w14:paraId="7A50228C" w14:textId="77777777" w:rsidR="008D7474" w:rsidRPr="000F58C8" w:rsidRDefault="008D7474" w:rsidP="00BE1E82">
      <w:pPr>
        <w:tabs>
          <w:tab w:val="left" w:pos="8640"/>
        </w:tabs>
        <w:spacing w:after="200" w:line="240" w:lineRule="auto"/>
        <w:jc w:val="both"/>
        <w:rPr>
          <w:rFonts w:ascii="Times New Roman" w:hAnsi="Times New Roman" w:cs="Times New Roman"/>
          <w:sz w:val="26"/>
          <w:szCs w:val="26"/>
        </w:rPr>
      </w:pPr>
      <w:r w:rsidRPr="00B83CB0">
        <w:rPr>
          <w:rFonts w:ascii="Times New Roman" w:hAnsi="Times New Roman" w:cs="Times New Roman"/>
          <w:sz w:val="26"/>
          <w:szCs w:val="26"/>
        </w:rPr>
        <w:t>Maximum Penalt</w:t>
      </w:r>
      <w:r>
        <w:rPr>
          <w:rFonts w:ascii="Times New Roman" w:hAnsi="Times New Roman" w:cs="Times New Roman"/>
          <w:sz w:val="26"/>
          <w:szCs w:val="26"/>
        </w:rPr>
        <w:t>ies</w:t>
      </w:r>
      <w:r w:rsidRPr="00B83CB0">
        <w:rPr>
          <w:rFonts w:ascii="Times New Roman" w:hAnsi="Times New Roman" w:cs="Times New Roman"/>
          <w:sz w:val="26"/>
          <w:szCs w:val="26"/>
        </w:rPr>
        <w:t>: Three (3) years</w:t>
      </w:r>
      <w:r>
        <w:rPr>
          <w:rFonts w:ascii="Times New Roman" w:hAnsi="Times New Roman" w:cs="Times New Roman"/>
          <w:sz w:val="26"/>
          <w:szCs w:val="26"/>
        </w:rPr>
        <w:t>’</w:t>
      </w:r>
      <w:r w:rsidRPr="00B83CB0">
        <w:rPr>
          <w:rFonts w:ascii="Times New Roman" w:hAnsi="Times New Roman" w:cs="Times New Roman"/>
          <w:sz w:val="26"/>
          <w:szCs w:val="26"/>
        </w:rPr>
        <w:t xml:space="preserve"> imprisonment and </w:t>
      </w:r>
      <w:r>
        <w:rPr>
          <w:rFonts w:ascii="Times New Roman" w:hAnsi="Times New Roman" w:cs="Times New Roman"/>
          <w:sz w:val="26"/>
          <w:szCs w:val="26"/>
        </w:rPr>
        <w:t xml:space="preserve">a </w:t>
      </w:r>
      <w:r w:rsidRPr="000F58C8">
        <w:rPr>
          <w:rFonts w:ascii="Times New Roman" w:hAnsi="Times New Roman" w:cs="Times New Roman"/>
          <w:sz w:val="26"/>
          <w:szCs w:val="26"/>
        </w:rPr>
        <w:t xml:space="preserve">fine of not more than $5,000, or both. If the offense is committed only by threats of force, the maximum penalty is one (1) year imprisonment and </w:t>
      </w:r>
      <w:r>
        <w:rPr>
          <w:rFonts w:ascii="Times New Roman" w:hAnsi="Times New Roman" w:cs="Times New Roman"/>
          <w:sz w:val="26"/>
          <w:szCs w:val="26"/>
        </w:rPr>
        <w:t xml:space="preserve">a </w:t>
      </w:r>
      <w:r w:rsidRPr="000F58C8">
        <w:rPr>
          <w:rFonts w:ascii="Times New Roman" w:hAnsi="Times New Roman" w:cs="Times New Roman"/>
          <w:sz w:val="26"/>
          <w:szCs w:val="26"/>
        </w:rPr>
        <w:t xml:space="preserve">fine of not more than $3,000, or both.  </w:t>
      </w:r>
    </w:p>
    <w:p w14:paraId="6F4A4EEA" w14:textId="77777777" w:rsidR="008D7474" w:rsidRPr="000F58C8" w:rsidRDefault="008D7474" w:rsidP="00BE1E82">
      <w:pPr>
        <w:tabs>
          <w:tab w:val="left" w:pos="8640"/>
        </w:tabs>
        <w:spacing w:after="200" w:line="240" w:lineRule="auto"/>
        <w:jc w:val="both"/>
        <w:rPr>
          <w:rFonts w:ascii="Times New Roman" w:hAnsi="Times New Roman" w:cs="Times New Roman"/>
          <w:sz w:val="26"/>
          <w:szCs w:val="26"/>
        </w:rPr>
      </w:pPr>
      <w:r w:rsidRPr="000F58C8">
        <w:rPr>
          <w:rFonts w:ascii="Times New Roman" w:hAnsi="Times New Roman" w:cs="Times New Roman"/>
          <w:sz w:val="26"/>
          <w:szCs w:val="26"/>
        </w:rPr>
        <w:t xml:space="preserve">In </w:t>
      </w:r>
      <w:proofErr w:type="spellStart"/>
      <w:r w:rsidRPr="000F58C8">
        <w:rPr>
          <w:rFonts w:ascii="Times New Roman" w:hAnsi="Times New Roman" w:cs="Times New Roman"/>
          <w:i/>
          <w:iCs/>
          <w:sz w:val="26"/>
          <w:szCs w:val="26"/>
        </w:rPr>
        <w:t>Marinello</w:t>
      </w:r>
      <w:proofErr w:type="spellEnd"/>
      <w:r w:rsidRPr="000F58C8">
        <w:rPr>
          <w:rFonts w:ascii="Times New Roman" w:hAnsi="Times New Roman" w:cs="Times New Roman"/>
          <w:i/>
          <w:iCs/>
          <w:sz w:val="26"/>
          <w:szCs w:val="26"/>
        </w:rPr>
        <w:t xml:space="preserve"> v. United States</w:t>
      </w:r>
      <w:r w:rsidRPr="000F58C8">
        <w:rPr>
          <w:rFonts w:ascii="Times New Roman" w:hAnsi="Times New Roman" w:cs="Times New Roman"/>
          <w:sz w:val="26"/>
          <w:szCs w:val="26"/>
        </w:rPr>
        <w:t>, 138 S. Ct. 1101, 1109</w:t>
      </w:r>
      <w:r>
        <w:rPr>
          <w:rFonts w:ascii="Times New Roman" w:hAnsi="Times New Roman" w:cs="Times New Roman"/>
          <w:sz w:val="26"/>
          <w:szCs w:val="26"/>
        </w:rPr>
        <w:t>-</w:t>
      </w:r>
      <w:r w:rsidRPr="000F58C8">
        <w:rPr>
          <w:rFonts w:ascii="Times New Roman" w:hAnsi="Times New Roman" w:cs="Times New Roman"/>
          <w:sz w:val="26"/>
          <w:szCs w:val="26"/>
        </w:rPr>
        <w:t xml:space="preserve">10 (2018), the Supreme Court read a “nexus” requirement into 26 U.S.C. </w:t>
      </w:r>
      <w:r w:rsidRPr="00550EAD">
        <w:rPr>
          <w:rFonts w:ascii="Times New Roman" w:hAnsi="Times New Roman" w:cs="Times New Roman"/>
          <w:sz w:val="26"/>
          <w:szCs w:val="26"/>
        </w:rPr>
        <w:t>§</w:t>
      </w:r>
      <w:r w:rsidRPr="000F58C8">
        <w:rPr>
          <w:rFonts w:ascii="Times New Roman" w:hAnsi="Times New Roman" w:cs="Times New Roman"/>
          <w:sz w:val="26"/>
          <w:szCs w:val="26"/>
        </w:rPr>
        <w:t xml:space="preserve"> 7212(a</w:t>
      </w:r>
      <w:r>
        <w:rPr>
          <w:rFonts w:ascii="Times New Roman" w:hAnsi="Times New Roman" w:cs="Times New Roman"/>
          <w:sz w:val="26"/>
          <w:szCs w:val="26"/>
        </w:rPr>
        <w:t>)</w:t>
      </w:r>
      <w:r w:rsidRPr="000F58C8">
        <w:rPr>
          <w:rFonts w:ascii="Times New Roman" w:hAnsi="Times New Roman" w:cs="Times New Roman"/>
          <w:sz w:val="26"/>
          <w:szCs w:val="26"/>
        </w:rPr>
        <w:t>. In</w:t>
      </w:r>
      <w:r w:rsidRPr="000F58C8">
        <w:rPr>
          <w:rFonts w:ascii="Times New Roman" w:hAnsi="Times New Roman" w:cs="Times New Roman"/>
          <w:i/>
          <w:iCs/>
          <w:sz w:val="26"/>
          <w:szCs w:val="26"/>
        </w:rPr>
        <w:t xml:space="preserve"> United States v. Graham</w:t>
      </w:r>
      <w:r w:rsidRPr="000F58C8">
        <w:rPr>
          <w:rFonts w:ascii="Times New Roman" w:hAnsi="Times New Roman" w:cs="Times New Roman"/>
          <w:sz w:val="26"/>
          <w:szCs w:val="26"/>
        </w:rPr>
        <w:t xml:space="preserve">, 981 F.3d 1254, 1257 (11th Cir. 2020), the Eleventh Circuit explained: </w:t>
      </w:r>
    </w:p>
    <w:p w14:paraId="10C2632B" w14:textId="77777777" w:rsidR="008D7474" w:rsidRPr="000F58C8" w:rsidRDefault="008D7474" w:rsidP="00BE1E82">
      <w:pPr>
        <w:tabs>
          <w:tab w:val="left" w:pos="8640"/>
        </w:tabs>
        <w:spacing w:after="200" w:line="240" w:lineRule="auto"/>
        <w:ind w:left="720" w:right="720"/>
        <w:jc w:val="both"/>
        <w:rPr>
          <w:rFonts w:ascii="Times New Roman" w:hAnsi="Times New Roman" w:cs="Times New Roman"/>
          <w:sz w:val="26"/>
          <w:szCs w:val="26"/>
        </w:rPr>
      </w:pPr>
      <w:r w:rsidRPr="000F58C8">
        <w:rPr>
          <w:rFonts w:ascii="Times New Roman" w:hAnsi="Times New Roman" w:cs="Times New Roman"/>
          <w:sz w:val="26"/>
          <w:szCs w:val="26"/>
        </w:rPr>
        <w:t xml:space="preserve">Not long ago in this Circuit, the government could have convicted [the defendant] under </w:t>
      </w:r>
      <w:r w:rsidRPr="00A1758A">
        <w:rPr>
          <w:rFonts w:ascii="Times New Roman" w:hAnsi="Times New Roman" w:cs="Times New Roman"/>
          <w:sz w:val="26"/>
          <w:szCs w:val="26"/>
        </w:rPr>
        <w:t>§</w:t>
      </w:r>
      <w:r>
        <w:rPr>
          <w:rFonts w:ascii="Times New Roman" w:hAnsi="Times New Roman" w:cs="Times New Roman"/>
          <w:sz w:val="26"/>
          <w:szCs w:val="26"/>
        </w:rPr>
        <w:t xml:space="preserve"> </w:t>
      </w:r>
      <w:r w:rsidRPr="000F58C8">
        <w:rPr>
          <w:rFonts w:ascii="Times New Roman" w:hAnsi="Times New Roman" w:cs="Times New Roman"/>
          <w:sz w:val="26"/>
          <w:szCs w:val="26"/>
        </w:rPr>
        <w:t>7212(a) by proving only that he (1) “knowingly tried to obstruct or impede the due administration of the internal revenue laws,” and (2) “did so corruptly.” . . . But recently the Supreme Court added a third element. Now, the government must also prove a “nexus between the defendant’s conduct and a particular administrative proceeding, such as an investigation, an audit, or other targeted administrative action.”</w:t>
      </w:r>
    </w:p>
    <w:p w14:paraId="0C631B5A" w14:textId="77777777" w:rsidR="008D7474" w:rsidRPr="000F58C8" w:rsidRDefault="008D7474" w:rsidP="00BE1E82">
      <w:pPr>
        <w:tabs>
          <w:tab w:val="left" w:pos="8640"/>
        </w:tabs>
        <w:spacing w:after="200" w:line="240" w:lineRule="auto"/>
        <w:jc w:val="both"/>
        <w:rPr>
          <w:rFonts w:ascii="Times New Roman" w:hAnsi="Times New Roman" w:cs="Times New Roman"/>
          <w:sz w:val="26"/>
          <w:szCs w:val="26"/>
        </w:rPr>
      </w:pPr>
      <w:r w:rsidRPr="000F58C8">
        <w:rPr>
          <w:rFonts w:ascii="Times New Roman" w:hAnsi="Times New Roman" w:cs="Times New Roman"/>
          <w:i/>
          <w:iCs/>
          <w:sz w:val="26"/>
          <w:szCs w:val="26"/>
        </w:rPr>
        <w:t xml:space="preserve">Id. </w:t>
      </w:r>
      <w:r w:rsidRPr="000F58C8">
        <w:rPr>
          <w:rFonts w:ascii="Times New Roman" w:hAnsi="Times New Roman" w:cs="Times New Roman"/>
          <w:sz w:val="26"/>
          <w:szCs w:val="26"/>
        </w:rPr>
        <w:t xml:space="preserve">at 1257 (quoting </w:t>
      </w:r>
      <w:proofErr w:type="spellStart"/>
      <w:r w:rsidRPr="000F58C8">
        <w:rPr>
          <w:rFonts w:ascii="Times New Roman" w:hAnsi="Times New Roman" w:cs="Times New Roman"/>
          <w:i/>
          <w:iCs/>
          <w:sz w:val="26"/>
          <w:szCs w:val="26"/>
        </w:rPr>
        <w:t>Marinello</w:t>
      </w:r>
      <w:proofErr w:type="spellEnd"/>
      <w:r w:rsidRPr="000F58C8">
        <w:rPr>
          <w:rFonts w:ascii="Times New Roman" w:hAnsi="Times New Roman" w:cs="Times New Roman"/>
          <w:sz w:val="26"/>
          <w:szCs w:val="26"/>
        </w:rPr>
        <w:t xml:space="preserve">, 138 S. Ct. at 1109).  </w:t>
      </w:r>
    </w:p>
    <w:p w14:paraId="511CFE0C" w14:textId="77777777" w:rsidR="008D7474" w:rsidRPr="000F58C8" w:rsidRDefault="008D7474" w:rsidP="00BE1E82">
      <w:pPr>
        <w:tabs>
          <w:tab w:val="left" w:pos="8640"/>
        </w:tabs>
        <w:spacing w:after="200" w:line="240" w:lineRule="auto"/>
        <w:jc w:val="both"/>
        <w:rPr>
          <w:rFonts w:ascii="Times New Roman" w:hAnsi="Times New Roman" w:cs="Times New Roman"/>
          <w:sz w:val="26"/>
          <w:szCs w:val="26"/>
        </w:rPr>
      </w:pPr>
      <w:r w:rsidRPr="000F58C8">
        <w:rPr>
          <w:rFonts w:ascii="Times New Roman" w:hAnsi="Times New Roman" w:cs="Times New Roman"/>
          <w:sz w:val="26"/>
          <w:szCs w:val="26"/>
        </w:rPr>
        <w:t xml:space="preserve">This nexus element “requires [showing] a ‘relationship in time, causation, or logic with the </w:t>
      </w:r>
      <w:r>
        <w:rPr>
          <w:rFonts w:ascii="Times New Roman" w:hAnsi="Times New Roman" w:cs="Times New Roman"/>
          <w:sz w:val="26"/>
          <w:szCs w:val="26"/>
        </w:rPr>
        <w:t>[</w:t>
      </w:r>
      <w:r w:rsidRPr="000F58C8">
        <w:rPr>
          <w:rFonts w:ascii="Times New Roman" w:hAnsi="Times New Roman" w:cs="Times New Roman"/>
          <w:sz w:val="26"/>
          <w:szCs w:val="26"/>
        </w:rPr>
        <w:t>administrative</w:t>
      </w:r>
      <w:r>
        <w:rPr>
          <w:rFonts w:ascii="Times New Roman" w:hAnsi="Times New Roman" w:cs="Times New Roman"/>
          <w:sz w:val="26"/>
          <w:szCs w:val="26"/>
        </w:rPr>
        <w:t>]</w:t>
      </w:r>
      <w:r w:rsidRPr="000F58C8">
        <w:rPr>
          <w:rFonts w:ascii="Times New Roman" w:hAnsi="Times New Roman" w:cs="Times New Roman"/>
          <w:sz w:val="26"/>
          <w:szCs w:val="26"/>
        </w:rPr>
        <w:t xml:space="preserve"> proceeding.’” </w:t>
      </w:r>
      <w:proofErr w:type="spellStart"/>
      <w:r w:rsidRPr="000F58C8">
        <w:rPr>
          <w:rFonts w:ascii="Times New Roman" w:hAnsi="Times New Roman" w:cs="Times New Roman"/>
          <w:i/>
          <w:iCs/>
          <w:sz w:val="26"/>
          <w:szCs w:val="26"/>
        </w:rPr>
        <w:t>Marinello</w:t>
      </w:r>
      <w:proofErr w:type="spellEnd"/>
      <w:r w:rsidRPr="000F58C8">
        <w:rPr>
          <w:rFonts w:ascii="Times New Roman" w:hAnsi="Times New Roman" w:cs="Times New Roman"/>
          <w:sz w:val="26"/>
          <w:szCs w:val="26"/>
        </w:rPr>
        <w:t>, 138 S. Ct. at 1109 (</w:t>
      </w:r>
      <w:r w:rsidRPr="00A1758A">
        <w:rPr>
          <w:rFonts w:ascii="Times New Roman" w:hAnsi="Times New Roman" w:cs="Times New Roman"/>
          <w:sz w:val="26"/>
          <w:szCs w:val="26"/>
        </w:rPr>
        <w:t xml:space="preserve">second alteration in original) (quoting </w:t>
      </w:r>
      <w:r w:rsidRPr="00FF46D7">
        <w:rPr>
          <w:rFonts w:ascii="Times New Roman" w:hAnsi="Times New Roman" w:cs="Times New Roman"/>
          <w:i/>
          <w:iCs/>
          <w:sz w:val="26"/>
          <w:szCs w:val="26"/>
        </w:rPr>
        <w:t>United States v. Aguilar</w:t>
      </w:r>
      <w:r w:rsidRPr="00FF46D7">
        <w:rPr>
          <w:rFonts w:ascii="Times New Roman" w:hAnsi="Times New Roman" w:cs="Times New Roman"/>
          <w:sz w:val="26"/>
          <w:szCs w:val="26"/>
        </w:rPr>
        <w:t>, 515 U.S. 593, 599 (1995)</w:t>
      </w:r>
      <w:r>
        <w:rPr>
          <w:rFonts w:ascii="Times New Roman" w:hAnsi="Times New Roman" w:cs="Times New Roman"/>
          <w:sz w:val="26"/>
          <w:szCs w:val="26"/>
        </w:rPr>
        <w:t>)</w:t>
      </w:r>
      <w:r w:rsidRPr="00A1758A">
        <w:rPr>
          <w:rFonts w:ascii="Times New Roman" w:hAnsi="Times New Roman" w:cs="Times New Roman"/>
          <w:sz w:val="26"/>
          <w:szCs w:val="26"/>
        </w:rPr>
        <w:t>.</w:t>
      </w:r>
      <w:r w:rsidRPr="000F58C8">
        <w:rPr>
          <w:rFonts w:ascii="Times New Roman" w:hAnsi="Times New Roman" w:cs="Times New Roman"/>
          <w:sz w:val="26"/>
          <w:szCs w:val="26"/>
        </w:rPr>
        <w:t xml:space="preserve"> It also obligates the government to show “that the proceeding was pending at the time the defendant engaged in the obstructive conduct or, at the least, was then reasonably foreseeable by the defendant.” </w:t>
      </w:r>
      <w:r w:rsidRPr="000F58C8">
        <w:rPr>
          <w:rFonts w:ascii="Times New Roman" w:hAnsi="Times New Roman" w:cs="Times New Roman"/>
          <w:i/>
          <w:iCs/>
          <w:sz w:val="26"/>
          <w:szCs w:val="26"/>
        </w:rPr>
        <w:t>Id.</w:t>
      </w:r>
      <w:r w:rsidRPr="000F58C8">
        <w:rPr>
          <w:rFonts w:ascii="Times New Roman" w:hAnsi="Times New Roman" w:cs="Times New Roman"/>
          <w:sz w:val="26"/>
          <w:szCs w:val="26"/>
        </w:rPr>
        <w:t xml:space="preserve"> at 1110 (citing </w:t>
      </w:r>
      <w:r w:rsidRPr="000F58C8">
        <w:rPr>
          <w:rFonts w:ascii="Times New Roman" w:hAnsi="Times New Roman" w:cs="Times New Roman"/>
          <w:i/>
          <w:iCs/>
          <w:sz w:val="26"/>
          <w:szCs w:val="26"/>
        </w:rPr>
        <w:t xml:space="preserve">Arthur </w:t>
      </w:r>
      <w:r w:rsidRPr="00AB6D21">
        <w:rPr>
          <w:rFonts w:ascii="Times New Roman" w:hAnsi="Times New Roman" w:cs="Times New Roman"/>
          <w:i/>
          <w:iCs/>
          <w:sz w:val="26"/>
          <w:szCs w:val="26"/>
        </w:rPr>
        <w:t>Andersen LLP</w:t>
      </w:r>
      <w:r w:rsidRPr="000F58C8">
        <w:rPr>
          <w:rFonts w:ascii="Times New Roman" w:hAnsi="Times New Roman" w:cs="Times New Roman"/>
          <w:i/>
          <w:iCs/>
          <w:sz w:val="26"/>
          <w:szCs w:val="26"/>
        </w:rPr>
        <w:t xml:space="preserve"> v. United States</w:t>
      </w:r>
      <w:r w:rsidRPr="000F58C8">
        <w:rPr>
          <w:rFonts w:ascii="Times New Roman" w:hAnsi="Times New Roman" w:cs="Times New Roman"/>
          <w:sz w:val="26"/>
          <w:szCs w:val="26"/>
        </w:rPr>
        <w:t>, 544 U.S. 696, 707</w:t>
      </w:r>
      <w:r>
        <w:rPr>
          <w:rFonts w:ascii="Times New Roman" w:hAnsi="Times New Roman" w:cs="Times New Roman"/>
          <w:sz w:val="26"/>
          <w:szCs w:val="26"/>
        </w:rPr>
        <w:t>-</w:t>
      </w:r>
      <w:r w:rsidRPr="000F58C8">
        <w:rPr>
          <w:rFonts w:ascii="Times New Roman" w:hAnsi="Times New Roman" w:cs="Times New Roman"/>
          <w:sz w:val="26"/>
          <w:szCs w:val="26"/>
        </w:rPr>
        <w:t xml:space="preserve">08 (2005)).  </w:t>
      </w:r>
    </w:p>
    <w:p w14:paraId="604AEE98" w14:textId="77777777" w:rsidR="008D7474" w:rsidRDefault="008D7474" w:rsidP="00BE1E82">
      <w:pPr>
        <w:tabs>
          <w:tab w:val="left" w:pos="8640"/>
        </w:tabs>
        <w:spacing w:after="200" w:line="240" w:lineRule="auto"/>
        <w:jc w:val="both"/>
        <w:rPr>
          <w:rFonts w:ascii="Times New Roman" w:hAnsi="Times New Roman" w:cs="Times New Roman"/>
          <w:sz w:val="26"/>
          <w:szCs w:val="26"/>
        </w:rPr>
      </w:pPr>
      <w:r w:rsidRPr="000F58C8">
        <w:rPr>
          <w:rFonts w:ascii="Times New Roman" w:hAnsi="Times New Roman" w:cs="Times New Roman"/>
          <w:sz w:val="26"/>
          <w:szCs w:val="26"/>
        </w:rPr>
        <w:t xml:space="preserve">The Supreme Court has declined to “exhaustively itemize the types of administrative conduct that fall within the scope of the statute[.]” </w:t>
      </w:r>
      <w:r w:rsidRPr="000F58C8">
        <w:rPr>
          <w:rFonts w:ascii="Times New Roman" w:hAnsi="Times New Roman" w:cs="Times New Roman"/>
          <w:i/>
          <w:iCs/>
          <w:sz w:val="26"/>
          <w:szCs w:val="26"/>
        </w:rPr>
        <w:t>Id.</w:t>
      </w:r>
      <w:r w:rsidRPr="000F58C8">
        <w:rPr>
          <w:rFonts w:ascii="Times New Roman" w:hAnsi="Times New Roman" w:cs="Times New Roman"/>
          <w:sz w:val="26"/>
          <w:szCs w:val="26"/>
        </w:rPr>
        <w:t xml:space="preserve"> Yet, </w:t>
      </w:r>
      <w:r w:rsidRPr="00C66FF9">
        <w:rPr>
          <w:rFonts w:ascii="Times New Roman" w:hAnsi="Times New Roman" w:cs="Times New Roman"/>
          <w:sz w:val="26"/>
          <w:szCs w:val="26"/>
        </w:rPr>
        <w:t>§</w:t>
      </w:r>
      <w:r>
        <w:rPr>
          <w:rFonts w:ascii="Times New Roman" w:hAnsi="Times New Roman" w:cs="Times New Roman"/>
          <w:sz w:val="26"/>
          <w:szCs w:val="26"/>
        </w:rPr>
        <w:t xml:space="preserve"> </w:t>
      </w:r>
      <w:r w:rsidRPr="000F58C8">
        <w:rPr>
          <w:rFonts w:ascii="Times New Roman" w:hAnsi="Times New Roman" w:cs="Times New Roman"/>
          <w:sz w:val="26"/>
          <w:szCs w:val="26"/>
        </w:rPr>
        <w:t xml:space="preserve">7212(a) does not cover “routine, day-to-day work carried out in the ordinary course by the IRS, such as the review of tax returns[.]” </w:t>
      </w:r>
      <w:r w:rsidRPr="000F58C8">
        <w:rPr>
          <w:rFonts w:ascii="Times New Roman" w:hAnsi="Times New Roman" w:cs="Times New Roman"/>
          <w:i/>
          <w:iCs/>
          <w:sz w:val="26"/>
          <w:szCs w:val="26"/>
        </w:rPr>
        <w:t>Id.</w:t>
      </w:r>
      <w:r w:rsidRPr="000F58C8">
        <w:rPr>
          <w:rFonts w:ascii="Times New Roman" w:hAnsi="Times New Roman" w:cs="Times New Roman"/>
          <w:sz w:val="26"/>
          <w:szCs w:val="26"/>
        </w:rPr>
        <w:t xml:space="preserve"> The required administrative action may take many forms if it is “targeted” at </w:t>
      </w:r>
      <w:proofErr w:type="gramStart"/>
      <w:r w:rsidRPr="000F58C8">
        <w:rPr>
          <w:rFonts w:ascii="Times New Roman" w:hAnsi="Times New Roman" w:cs="Times New Roman"/>
          <w:sz w:val="26"/>
          <w:szCs w:val="26"/>
        </w:rPr>
        <w:t>particular individuals</w:t>
      </w:r>
      <w:proofErr w:type="gramEnd"/>
      <w:r w:rsidRPr="000F58C8">
        <w:rPr>
          <w:rFonts w:ascii="Times New Roman" w:hAnsi="Times New Roman" w:cs="Times New Roman"/>
          <w:sz w:val="26"/>
          <w:szCs w:val="26"/>
        </w:rPr>
        <w:t xml:space="preserve"> rather tha</w:t>
      </w:r>
      <w:r w:rsidRPr="004872E6">
        <w:rPr>
          <w:rFonts w:ascii="Times New Roman" w:hAnsi="Times New Roman" w:cs="Times New Roman"/>
          <w:sz w:val="26"/>
          <w:szCs w:val="26"/>
        </w:rPr>
        <w:t>n at</w:t>
      </w:r>
      <w:r>
        <w:rPr>
          <w:rFonts w:ascii="Times New Roman" w:hAnsi="Times New Roman" w:cs="Times New Roman"/>
          <w:sz w:val="26"/>
          <w:szCs w:val="26"/>
        </w:rPr>
        <w:t xml:space="preserve"> </w:t>
      </w:r>
      <w:r w:rsidRPr="000F58C8">
        <w:rPr>
          <w:rFonts w:ascii="Times New Roman" w:hAnsi="Times New Roman" w:cs="Times New Roman"/>
          <w:sz w:val="26"/>
          <w:szCs w:val="26"/>
        </w:rPr>
        <w:t xml:space="preserve">the general administration of federal tax </w:t>
      </w:r>
      <w:r w:rsidRPr="000F58C8">
        <w:rPr>
          <w:rFonts w:ascii="Times New Roman" w:hAnsi="Times New Roman" w:cs="Times New Roman"/>
          <w:sz w:val="26"/>
          <w:szCs w:val="26"/>
        </w:rPr>
        <w:lastRenderedPageBreak/>
        <w:t xml:space="preserve">law. </w:t>
      </w:r>
      <w:r w:rsidRPr="000F58C8">
        <w:rPr>
          <w:rFonts w:ascii="Times New Roman" w:hAnsi="Times New Roman" w:cs="Times New Roman"/>
          <w:i/>
          <w:iCs/>
          <w:sz w:val="26"/>
          <w:szCs w:val="26"/>
        </w:rPr>
        <w:t>See Graham</w:t>
      </w:r>
      <w:r w:rsidRPr="000F58C8">
        <w:rPr>
          <w:rFonts w:ascii="Times New Roman" w:hAnsi="Times New Roman" w:cs="Times New Roman"/>
          <w:sz w:val="26"/>
          <w:szCs w:val="26"/>
        </w:rPr>
        <w:t>, 981 F.3d at 1259</w:t>
      </w:r>
      <w:r>
        <w:rPr>
          <w:rFonts w:ascii="Times New Roman" w:hAnsi="Times New Roman" w:cs="Times New Roman"/>
          <w:sz w:val="26"/>
          <w:szCs w:val="26"/>
        </w:rPr>
        <w:t>-</w:t>
      </w:r>
      <w:r w:rsidRPr="000F58C8">
        <w:rPr>
          <w:rFonts w:ascii="Times New Roman" w:hAnsi="Times New Roman" w:cs="Times New Roman"/>
          <w:sz w:val="26"/>
          <w:szCs w:val="26"/>
        </w:rPr>
        <w:t xml:space="preserve">60 (concluding that various collection efforts made by the IRS, including issuance of notices of liens and levies to defendant and seizure of some of defendant’s property, did not present even “a borderline case” under </w:t>
      </w:r>
      <w:r w:rsidRPr="00C66FF9">
        <w:rPr>
          <w:rFonts w:ascii="Times New Roman" w:hAnsi="Times New Roman" w:cs="Times New Roman"/>
          <w:sz w:val="26"/>
          <w:szCs w:val="26"/>
        </w:rPr>
        <w:t>§</w:t>
      </w:r>
      <w:r>
        <w:rPr>
          <w:rFonts w:ascii="Times New Roman" w:hAnsi="Times New Roman" w:cs="Times New Roman"/>
          <w:sz w:val="26"/>
          <w:szCs w:val="26"/>
        </w:rPr>
        <w:t xml:space="preserve"> </w:t>
      </w:r>
      <w:r w:rsidRPr="000F58C8">
        <w:rPr>
          <w:rFonts w:ascii="Times New Roman" w:hAnsi="Times New Roman" w:cs="Times New Roman"/>
          <w:sz w:val="26"/>
          <w:szCs w:val="26"/>
        </w:rPr>
        <w:t>7212(a)).</w:t>
      </w:r>
      <w:r>
        <w:rPr>
          <w:rFonts w:ascii="Times New Roman" w:hAnsi="Times New Roman" w:cs="Times New Roman"/>
          <w:sz w:val="26"/>
          <w:szCs w:val="26"/>
        </w:rPr>
        <w:t xml:space="preserve"> </w:t>
      </w:r>
    </w:p>
    <w:p w14:paraId="4AEB5122" w14:textId="77777777" w:rsidR="005764C5" w:rsidRDefault="005764C5"/>
    <w:sectPr w:rsidR="005764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474"/>
    <w:rsid w:val="001A558C"/>
    <w:rsid w:val="005764C5"/>
    <w:rsid w:val="007B42AB"/>
    <w:rsid w:val="008D7474"/>
    <w:rsid w:val="00BE1E82"/>
    <w:rsid w:val="00F85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322A"/>
  <w15:chartTrackingRefBased/>
  <w15:docId w15:val="{0E1CA576-FFCE-4D0E-A441-4FA4F4A3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47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450</Words>
  <Characters>2569</Characters>
  <Application>Microsoft Office Word</Application>
  <DocSecurity>0</DocSecurity>
  <Lines>21</Lines>
  <Paragraphs>6</Paragraphs>
  <ScaleCrop>false</ScaleCrop>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2</cp:revision>
  <dcterms:created xsi:type="dcterms:W3CDTF">2024-03-20T20:13:00Z</dcterms:created>
  <dcterms:modified xsi:type="dcterms:W3CDTF">2024-03-20T20:15:00Z</dcterms:modified>
</cp:coreProperties>
</file>