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19433" w14:textId="77777777" w:rsidR="00000837" w:rsidRPr="004C47A3" w:rsidRDefault="00000837" w:rsidP="00C221AC">
      <w:pPr>
        <w:spacing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4C47A3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14:paraId="50DF56BF" w14:textId="77777777" w:rsidR="00000837" w:rsidRPr="004C47A3" w:rsidRDefault="00000837" w:rsidP="00C221AC">
      <w:pPr>
        <w:spacing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4C47A3">
        <w:rPr>
          <w:rFonts w:ascii="Times New Roman" w:eastAsia="Arial" w:hAnsi="Times New Roman"/>
          <w:sz w:val="26"/>
          <w:szCs w:val="26"/>
        </w:rPr>
        <w:t xml:space="preserve">18 U.S.C. </w:t>
      </w:r>
      <w:r w:rsidRPr="004C47A3">
        <w:rPr>
          <w:rFonts w:ascii="Times New Roman" w:eastAsia="Arial" w:hAnsi="Times New Roman" w:cs="Times New Roman"/>
          <w:sz w:val="26"/>
          <w:szCs w:val="26"/>
        </w:rPr>
        <w:t>§</w:t>
      </w:r>
      <w:r w:rsidRPr="004C47A3">
        <w:rPr>
          <w:rFonts w:ascii="Times New Roman" w:eastAsia="Arial" w:hAnsi="Times New Roman"/>
          <w:sz w:val="26"/>
          <w:szCs w:val="26"/>
        </w:rPr>
        <w:t xml:space="preserve"> 371 provides:</w:t>
      </w:r>
    </w:p>
    <w:p w14:paraId="230FBEA5" w14:textId="77777777" w:rsidR="00000837" w:rsidRPr="004C47A3" w:rsidRDefault="00000837" w:rsidP="004C47A3">
      <w:pPr>
        <w:spacing w:line="240" w:lineRule="auto"/>
        <w:ind w:left="720" w:right="720"/>
        <w:jc w:val="both"/>
        <w:rPr>
          <w:rFonts w:ascii="Times New Roman" w:eastAsia="Arial" w:hAnsi="Times New Roman"/>
          <w:sz w:val="26"/>
          <w:szCs w:val="26"/>
        </w:rPr>
      </w:pPr>
      <w:r w:rsidRPr="004C47A3">
        <w:rPr>
          <w:rFonts w:ascii="Times New Roman" w:eastAsia="Arial" w:hAnsi="Times New Roman"/>
          <w:sz w:val="26"/>
          <w:szCs w:val="26"/>
        </w:rPr>
        <w:t xml:space="preserve">If two or more persons conspire… to commit any offense against the United States… and one or more of such persons do any act to </w:t>
      </w:r>
      <w:proofErr w:type="gramStart"/>
      <w:r w:rsidRPr="004C47A3">
        <w:rPr>
          <w:rFonts w:ascii="Times New Roman" w:eastAsia="Arial" w:hAnsi="Times New Roman"/>
          <w:sz w:val="26"/>
          <w:szCs w:val="26"/>
        </w:rPr>
        <w:t>effect</w:t>
      </w:r>
      <w:proofErr w:type="gramEnd"/>
      <w:r w:rsidRPr="004C47A3">
        <w:rPr>
          <w:rFonts w:ascii="Times New Roman" w:eastAsia="Arial" w:hAnsi="Times New Roman"/>
          <w:sz w:val="26"/>
          <w:szCs w:val="26"/>
        </w:rPr>
        <w:t xml:space="preserve"> the object of the conspiracy, each [shall be guilty of an offense against the United States].</w:t>
      </w:r>
    </w:p>
    <w:p w14:paraId="2E1190F1" w14:textId="77777777" w:rsidR="00000837" w:rsidRPr="004C47A3" w:rsidRDefault="00000837" w:rsidP="00C221AC">
      <w:pPr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C47A3">
        <w:rPr>
          <w:rFonts w:ascii="Times New Roman" w:eastAsia="Arial" w:hAnsi="Times New Roman" w:cs="Times New Roman"/>
          <w:sz w:val="26"/>
          <w:szCs w:val="26"/>
        </w:rPr>
        <w:t xml:space="preserve">Maximum Penalty: Five </w:t>
      </w:r>
      <w:r w:rsidRPr="004C47A3">
        <w:rPr>
          <w:rFonts w:ascii="Times New Roman" w:eastAsia="Arial" w:hAnsi="Times New Roman"/>
          <w:sz w:val="26"/>
          <w:szCs w:val="26"/>
        </w:rPr>
        <w:fldChar w:fldCharType="begin"/>
      </w:r>
      <w:r w:rsidRPr="004C47A3">
        <w:rPr>
          <w:rFonts w:ascii="Times New Roman" w:eastAsia="Arial" w:hAnsi="Times New Roman"/>
          <w:sz w:val="26"/>
          <w:szCs w:val="26"/>
        </w:rPr>
        <w:instrText xml:space="preserve"> LISTNUM  NumberDefault \l 4 \s 5 </w:instrText>
      </w:r>
      <w:r w:rsidRPr="004C47A3">
        <w:rPr>
          <w:rFonts w:ascii="Times New Roman" w:eastAsia="Arial" w:hAnsi="Times New Roman"/>
          <w:sz w:val="26"/>
          <w:szCs w:val="26"/>
        </w:rPr>
        <w:fldChar w:fldCharType="end">
          <w:numberingChange w:id="0" w:author="Author" w:original="(5)"/>
        </w:fldChar>
      </w:r>
      <w:r w:rsidRPr="004C47A3">
        <w:rPr>
          <w:rFonts w:ascii="Times New Roman" w:eastAsia="Arial" w:hAnsi="Times New Roman" w:cs="Times New Roman"/>
          <w:sz w:val="26"/>
          <w:szCs w:val="26"/>
        </w:rPr>
        <w:t xml:space="preserve"> years imprisonment and applicable fine.</w:t>
      </w:r>
    </w:p>
    <w:p w14:paraId="72F22E96" w14:textId="762E7C06" w:rsidR="00000837" w:rsidRPr="004C47A3" w:rsidRDefault="00000837" w:rsidP="00C221AC">
      <w:pPr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C47A3">
        <w:rPr>
          <w:rFonts w:ascii="Times New Roman" w:eastAsia="Arial" w:hAnsi="Times New Roman" w:cs="Times New Roman"/>
          <w:i/>
          <w:sz w:val="26"/>
          <w:szCs w:val="26"/>
        </w:rPr>
        <w:t>See United States v. Horton</w:t>
      </w:r>
      <w:r w:rsidRPr="004C47A3">
        <w:rPr>
          <w:rFonts w:ascii="Times New Roman" w:eastAsia="Arial" w:hAnsi="Times New Roman" w:cs="Times New Roman"/>
          <w:sz w:val="26"/>
          <w:szCs w:val="26"/>
        </w:rPr>
        <w:t>, 646 F.2d 181, 186 (5</w:t>
      </w:r>
      <w:r w:rsidR="00910B56" w:rsidRPr="004C47A3">
        <w:rPr>
          <w:rFonts w:ascii="Times New Roman" w:eastAsia="Arial" w:hAnsi="Times New Roman" w:cs="Times New Roman"/>
          <w:sz w:val="26"/>
          <w:szCs w:val="26"/>
        </w:rPr>
        <w:t>th</w:t>
      </w:r>
      <w:r w:rsidRPr="004C47A3">
        <w:rPr>
          <w:rFonts w:ascii="Times New Roman" w:eastAsia="Arial" w:hAnsi="Times New Roman" w:cs="Times New Roman"/>
          <w:sz w:val="26"/>
          <w:szCs w:val="26"/>
        </w:rPr>
        <w:t xml:space="preserve"> Cir. 1981).</w:t>
      </w:r>
    </w:p>
    <w:p w14:paraId="4FF223CE" w14:textId="7058DF1F" w:rsidR="00FA5056" w:rsidRPr="004C47A3" w:rsidRDefault="00000837" w:rsidP="00C221AC">
      <w:pPr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C47A3">
        <w:rPr>
          <w:rFonts w:ascii="Times New Roman" w:eastAsia="Arial" w:hAnsi="Times New Roman" w:cs="Times New Roman"/>
          <w:sz w:val="26"/>
          <w:szCs w:val="26"/>
        </w:rPr>
        <w:t xml:space="preserve">The </w:t>
      </w:r>
      <w:r w:rsidR="00910B56" w:rsidRPr="004C47A3">
        <w:rPr>
          <w:rFonts w:ascii="Times New Roman" w:eastAsia="Arial" w:hAnsi="Times New Roman" w:cs="Times New Roman"/>
          <w:sz w:val="26"/>
          <w:szCs w:val="26"/>
        </w:rPr>
        <w:t>C</w:t>
      </w:r>
      <w:r w:rsidRPr="004C47A3">
        <w:rPr>
          <w:rFonts w:ascii="Times New Roman" w:eastAsia="Arial" w:hAnsi="Times New Roman" w:cs="Times New Roman"/>
          <w:sz w:val="26"/>
          <w:szCs w:val="26"/>
        </w:rPr>
        <w:t>ommittee believes that the general definition of “willfully” in Basic Instruction 9.1A would usually apply to this crime.</w:t>
      </w:r>
    </w:p>
    <w:p w14:paraId="2D90B287" w14:textId="169BD85F" w:rsidR="00910B56" w:rsidRPr="004C47A3" w:rsidRDefault="00910B56" w:rsidP="00910B56">
      <w:pPr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C47A3">
        <w:rPr>
          <w:rFonts w:ascii="Times New Roman" w:eastAsia="Arial" w:hAnsi="Times New Roman" w:cs="Times New Roman"/>
          <w:sz w:val="26"/>
          <w:szCs w:val="26"/>
        </w:rPr>
        <w:t>The</w:t>
      </w:r>
      <w:r w:rsidR="007235A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sz w:val="26"/>
          <w:szCs w:val="26"/>
        </w:rPr>
        <w:t>general</w:t>
      </w:r>
      <w:r w:rsidR="007235A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sz w:val="26"/>
          <w:szCs w:val="26"/>
        </w:rPr>
        <w:t>conspiracy</w:t>
      </w:r>
      <w:r w:rsidR="007235A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sz w:val="26"/>
          <w:szCs w:val="26"/>
        </w:rPr>
        <w:t>statute,</w:t>
      </w:r>
      <w:r w:rsidR="007235A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sz w:val="26"/>
          <w:szCs w:val="26"/>
        </w:rPr>
        <w:t>18</w:t>
      </w:r>
      <w:r w:rsidR="000977DF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sz w:val="26"/>
          <w:szCs w:val="26"/>
        </w:rPr>
        <w:t>U.S.C.</w:t>
      </w:r>
      <w:r w:rsidR="007235A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sz w:val="26"/>
          <w:szCs w:val="26"/>
        </w:rPr>
        <w:t>§</w:t>
      </w:r>
      <w:r w:rsidR="007235A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sz w:val="26"/>
          <w:szCs w:val="26"/>
        </w:rPr>
        <w:t>371,</w:t>
      </w:r>
      <w:r w:rsidR="007235A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sz w:val="26"/>
          <w:szCs w:val="26"/>
        </w:rPr>
        <w:t>expressly</w:t>
      </w:r>
      <w:r w:rsidR="007235A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sz w:val="26"/>
          <w:szCs w:val="26"/>
        </w:rPr>
        <w:t>makes an overt act an element of the offense. A conspiracy charged under other conspiracy statutes may not include an overt act as an element.</w:t>
      </w:r>
      <w:r w:rsidR="007235A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i/>
          <w:iCs/>
          <w:sz w:val="26"/>
          <w:szCs w:val="26"/>
        </w:rPr>
        <w:t>See, e.g.</w:t>
      </w:r>
      <w:r w:rsidRPr="004C47A3">
        <w:rPr>
          <w:rFonts w:ascii="Times New Roman" w:eastAsia="Arial" w:hAnsi="Times New Roman" w:cs="Times New Roman"/>
          <w:sz w:val="26"/>
          <w:szCs w:val="26"/>
        </w:rPr>
        <w:t>,</w:t>
      </w:r>
      <w:r w:rsidR="007235A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sz w:val="26"/>
          <w:szCs w:val="26"/>
        </w:rPr>
        <w:t>18 U.S.C. §§ 286,</w:t>
      </w:r>
      <w:r w:rsidR="007235A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sz w:val="26"/>
          <w:szCs w:val="26"/>
        </w:rPr>
        <w:t>1349,</w:t>
      </w:r>
      <w:r w:rsidR="007235A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sz w:val="26"/>
          <w:szCs w:val="26"/>
        </w:rPr>
        <w:t>1956(h), 1962(d); and 21 U.S.C. §§ 846, 963. To the extent that</w:t>
      </w:r>
      <w:r w:rsidR="007235A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sz w:val="26"/>
          <w:szCs w:val="26"/>
        </w:rPr>
        <w:t>district courts are</w:t>
      </w:r>
      <w:r w:rsidR="007235A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sz w:val="26"/>
          <w:szCs w:val="26"/>
        </w:rPr>
        <w:t>relying on</w:t>
      </w:r>
      <w:r w:rsidR="007235A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sz w:val="26"/>
          <w:szCs w:val="26"/>
        </w:rPr>
        <w:t>this instruction</w:t>
      </w:r>
      <w:r w:rsidR="007235A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sz w:val="26"/>
          <w:szCs w:val="26"/>
        </w:rPr>
        <w:t>as guidance for drafting an instruction for a different</w:t>
      </w:r>
      <w:r w:rsidR="007235A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sz w:val="26"/>
          <w:szCs w:val="26"/>
        </w:rPr>
        <w:t>conspir</w:t>
      </w:r>
      <w:bookmarkStart w:id="1" w:name="_GoBack"/>
      <w:bookmarkEnd w:id="1"/>
      <w:r w:rsidRPr="004C47A3">
        <w:rPr>
          <w:rFonts w:ascii="Times New Roman" w:eastAsia="Arial" w:hAnsi="Times New Roman" w:cs="Times New Roman"/>
          <w:sz w:val="26"/>
          <w:szCs w:val="26"/>
        </w:rPr>
        <w:t>acy offense, the</w:t>
      </w:r>
      <w:r w:rsidR="007235A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sz w:val="26"/>
          <w:szCs w:val="26"/>
        </w:rPr>
        <w:t>Committee cautions that the</w:t>
      </w:r>
      <w:r w:rsidR="007235A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sz w:val="26"/>
          <w:szCs w:val="26"/>
        </w:rPr>
        <w:t>United States</w:t>
      </w:r>
      <w:r w:rsidR="007235A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sz w:val="26"/>
          <w:szCs w:val="26"/>
        </w:rPr>
        <w:t>Supreme Court</w:t>
      </w:r>
      <w:r w:rsidR="007235A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sz w:val="26"/>
          <w:szCs w:val="26"/>
        </w:rPr>
        <w:t>has held</w:t>
      </w:r>
      <w:r w:rsidR="007235A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sz w:val="26"/>
          <w:szCs w:val="26"/>
        </w:rPr>
        <w:t>in several circumstances</w:t>
      </w:r>
      <w:r w:rsidR="007235A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sz w:val="26"/>
          <w:szCs w:val="26"/>
        </w:rPr>
        <w:t>that proof of an overt act is not required when</w:t>
      </w:r>
      <w:r w:rsidR="007235A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sz w:val="26"/>
          <w:szCs w:val="26"/>
        </w:rPr>
        <w:t>a</w:t>
      </w:r>
      <w:r w:rsidR="007235A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sz w:val="26"/>
          <w:szCs w:val="26"/>
        </w:rPr>
        <w:t>conspiracy statute does</w:t>
      </w:r>
      <w:r w:rsidR="007235A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sz w:val="26"/>
          <w:szCs w:val="26"/>
        </w:rPr>
        <w:t>not expressly contain an overt act requirement.</w:t>
      </w:r>
      <w:r w:rsidR="007235A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i/>
          <w:iCs/>
          <w:sz w:val="26"/>
          <w:szCs w:val="26"/>
        </w:rPr>
        <w:t>See Whitfield v. United States</w:t>
      </w:r>
      <w:r w:rsidRPr="004C47A3">
        <w:rPr>
          <w:rFonts w:ascii="Times New Roman" w:eastAsia="Arial" w:hAnsi="Times New Roman" w:cs="Times New Roman"/>
          <w:sz w:val="26"/>
          <w:szCs w:val="26"/>
        </w:rPr>
        <w:t>, 543 U.S. 209, 214 (2005) (finding no overt act requirement in 18 U.S.C. § 1956(h));</w:t>
      </w:r>
      <w:r w:rsidR="007235A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i/>
          <w:iCs/>
          <w:sz w:val="26"/>
          <w:szCs w:val="26"/>
        </w:rPr>
        <w:t>Salinas v. United States,</w:t>
      </w:r>
      <w:r w:rsidR="007235A9">
        <w:rPr>
          <w:rFonts w:ascii="Times New Roman" w:eastAsia="Arial" w:hAnsi="Times New Roman" w:cs="Times New Roman"/>
          <w:i/>
          <w:iCs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sz w:val="26"/>
          <w:szCs w:val="26"/>
        </w:rPr>
        <w:t>522 U.S. 52, 63 (1997) (same as to 18 U.S.C. § 1962(d));</w:t>
      </w:r>
      <w:r w:rsidR="007235A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i/>
          <w:iCs/>
          <w:sz w:val="26"/>
          <w:szCs w:val="26"/>
        </w:rPr>
        <w:t>United States v.</w:t>
      </w:r>
      <w:r w:rsidR="007235A9">
        <w:rPr>
          <w:rFonts w:ascii="Times New Roman" w:eastAsia="Arial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4C47A3">
        <w:rPr>
          <w:rFonts w:ascii="Times New Roman" w:eastAsia="Arial" w:hAnsi="Times New Roman" w:cs="Times New Roman"/>
          <w:i/>
          <w:iCs/>
          <w:sz w:val="26"/>
          <w:szCs w:val="26"/>
        </w:rPr>
        <w:t>Shabani</w:t>
      </w:r>
      <w:proofErr w:type="spellEnd"/>
      <w:r w:rsidR="007235A9">
        <w:rPr>
          <w:rFonts w:ascii="Times New Roman" w:eastAsia="Arial" w:hAnsi="Times New Roman" w:cs="Times New Roman"/>
          <w:i/>
          <w:iCs/>
          <w:sz w:val="26"/>
          <w:szCs w:val="26"/>
        </w:rPr>
        <w:t xml:space="preserve"> </w:t>
      </w:r>
      <w:r w:rsidRPr="004C47A3">
        <w:rPr>
          <w:rFonts w:ascii="Times New Roman" w:eastAsia="Arial" w:hAnsi="Times New Roman" w:cs="Times New Roman"/>
          <w:sz w:val="26"/>
          <w:szCs w:val="26"/>
        </w:rPr>
        <w:t xml:space="preserve">513 U.S. 10, 11 (1994) (same as to 21 U.S.C. § 846). Reference to instructions related to those statutes may provide useful guidance. </w:t>
      </w:r>
      <w:r w:rsidRPr="004C47A3">
        <w:rPr>
          <w:rFonts w:ascii="Times New Roman" w:eastAsia="Arial" w:hAnsi="Times New Roman" w:cs="Times New Roman"/>
          <w:i/>
          <w:sz w:val="26"/>
          <w:szCs w:val="26"/>
        </w:rPr>
        <w:t>See</w:t>
      </w:r>
      <w:r w:rsidRPr="004C47A3">
        <w:rPr>
          <w:rFonts w:ascii="Times New Roman" w:eastAsia="Arial" w:hAnsi="Times New Roman" w:cs="Times New Roman"/>
          <w:sz w:val="26"/>
          <w:szCs w:val="26"/>
        </w:rPr>
        <w:t xml:space="preserve"> O74.5, O75.2, O100.</w:t>
      </w:r>
    </w:p>
    <w:sectPr w:rsidR="00910B56" w:rsidRPr="004C47A3" w:rsidSect="00000837">
      <w:footerReference w:type="default" r:id="rId8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20BF19" w14:textId="77777777" w:rsidR="00C5579B" w:rsidRDefault="00C5579B" w:rsidP="00000837">
      <w:pPr>
        <w:spacing w:after="0" w:line="240" w:lineRule="auto"/>
      </w:pPr>
      <w:r>
        <w:separator/>
      </w:r>
    </w:p>
  </w:endnote>
  <w:endnote w:type="continuationSeparator" w:id="0">
    <w:p w14:paraId="4CD3BAA8" w14:textId="77777777" w:rsidR="00C5579B" w:rsidRDefault="00C5579B" w:rsidP="00000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69D18" w14:textId="77777777" w:rsidR="00C5579B" w:rsidRDefault="00C5579B">
    <w:pPr>
      <w:jc w:val="center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FC4A97" w14:textId="77777777" w:rsidR="00C5579B" w:rsidRDefault="00C5579B" w:rsidP="00000837">
      <w:pPr>
        <w:spacing w:after="0" w:line="240" w:lineRule="auto"/>
      </w:pPr>
      <w:r>
        <w:separator/>
      </w:r>
    </w:p>
  </w:footnote>
  <w:footnote w:type="continuationSeparator" w:id="0">
    <w:p w14:paraId="6AA7F5EC" w14:textId="77777777" w:rsidR="00C5579B" w:rsidRDefault="00C5579B" w:rsidP="000008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767FC"/>
    <w:multiLevelType w:val="hybridMultilevel"/>
    <w:tmpl w:val="D42E7E22"/>
    <w:lvl w:ilvl="0" w:tplc="6472992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A9744FF"/>
    <w:multiLevelType w:val="hybridMultilevel"/>
    <w:tmpl w:val="369422CC"/>
    <w:lvl w:ilvl="0" w:tplc="84710062">
      <w:start w:val="1"/>
      <w:numFmt w:val="decimal"/>
      <w:lvlText w:val="%1."/>
      <w:lvlJc w:val="left"/>
      <w:pPr>
        <w:ind w:left="720" w:hanging="360"/>
      </w:pPr>
    </w:lvl>
    <w:lvl w:ilvl="1" w:tplc="84710062" w:tentative="1">
      <w:start w:val="1"/>
      <w:numFmt w:val="lowerLetter"/>
      <w:lvlText w:val="%2."/>
      <w:lvlJc w:val="left"/>
      <w:pPr>
        <w:ind w:left="1440" w:hanging="360"/>
      </w:pPr>
    </w:lvl>
    <w:lvl w:ilvl="2" w:tplc="84710062" w:tentative="1">
      <w:start w:val="1"/>
      <w:numFmt w:val="lowerRoman"/>
      <w:lvlText w:val="%3."/>
      <w:lvlJc w:val="right"/>
      <w:pPr>
        <w:ind w:left="2160" w:hanging="180"/>
      </w:pPr>
    </w:lvl>
    <w:lvl w:ilvl="3" w:tplc="84710062" w:tentative="1">
      <w:start w:val="1"/>
      <w:numFmt w:val="decimal"/>
      <w:lvlText w:val="%4."/>
      <w:lvlJc w:val="left"/>
      <w:pPr>
        <w:ind w:left="2880" w:hanging="360"/>
      </w:pPr>
    </w:lvl>
    <w:lvl w:ilvl="4" w:tplc="84710062" w:tentative="1">
      <w:start w:val="1"/>
      <w:numFmt w:val="lowerLetter"/>
      <w:lvlText w:val="%5."/>
      <w:lvlJc w:val="left"/>
      <w:pPr>
        <w:ind w:left="3600" w:hanging="360"/>
      </w:pPr>
    </w:lvl>
    <w:lvl w:ilvl="5" w:tplc="84710062" w:tentative="1">
      <w:start w:val="1"/>
      <w:numFmt w:val="lowerRoman"/>
      <w:lvlText w:val="%6."/>
      <w:lvlJc w:val="right"/>
      <w:pPr>
        <w:ind w:left="4320" w:hanging="180"/>
      </w:pPr>
    </w:lvl>
    <w:lvl w:ilvl="6" w:tplc="84710062" w:tentative="1">
      <w:start w:val="1"/>
      <w:numFmt w:val="decimal"/>
      <w:lvlText w:val="%7."/>
      <w:lvlJc w:val="left"/>
      <w:pPr>
        <w:ind w:left="5040" w:hanging="360"/>
      </w:pPr>
    </w:lvl>
    <w:lvl w:ilvl="7" w:tplc="84710062" w:tentative="1">
      <w:start w:val="1"/>
      <w:numFmt w:val="lowerLetter"/>
      <w:lvlText w:val="%8."/>
      <w:lvlJc w:val="left"/>
      <w:pPr>
        <w:ind w:left="5760" w:hanging="360"/>
      </w:pPr>
    </w:lvl>
    <w:lvl w:ilvl="8" w:tplc="8471006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00837"/>
    <w:rsid w:val="00065F9C"/>
    <w:rsid w:val="000977DF"/>
    <w:rsid w:val="000F6147"/>
    <w:rsid w:val="00102901"/>
    <w:rsid w:val="00112029"/>
    <w:rsid w:val="00113FEB"/>
    <w:rsid w:val="00135412"/>
    <w:rsid w:val="002027DB"/>
    <w:rsid w:val="0027229A"/>
    <w:rsid w:val="0029346A"/>
    <w:rsid w:val="002C1560"/>
    <w:rsid w:val="002D50A9"/>
    <w:rsid w:val="00361FF4"/>
    <w:rsid w:val="003B5299"/>
    <w:rsid w:val="00450824"/>
    <w:rsid w:val="00493A0C"/>
    <w:rsid w:val="004C47A3"/>
    <w:rsid w:val="004D6B48"/>
    <w:rsid w:val="00514E15"/>
    <w:rsid w:val="00521EFE"/>
    <w:rsid w:val="00531A4E"/>
    <w:rsid w:val="00535F5A"/>
    <w:rsid w:val="00555F58"/>
    <w:rsid w:val="006E6663"/>
    <w:rsid w:val="007235A9"/>
    <w:rsid w:val="008B3AC2"/>
    <w:rsid w:val="008F680D"/>
    <w:rsid w:val="00910B56"/>
    <w:rsid w:val="009E394B"/>
    <w:rsid w:val="00AC197E"/>
    <w:rsid w:val="00AD2EFE"/>
    <w:rsid w:val="00B12FB7"/>
    <w:rsid w:val="00B21D59"/>
    <w:rsid w:val="00BD419F"/>
    <w:rsid w:val="00C221AC"/>
    <w:rsid w:val="00C5579B"/>
    <w:rsid w:val="00CC3DE4"/>
    <w:rsid w:val="00DF064E"/>
    <w:rsid w:val="00E74E05"/>
    <w:rsid w:val="00F06BAD"/>
    <w:rsid w:val="00F461B1"/>
    <w:rsid w:val="00FA5056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30E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2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A27"/>
  </w:style>
  <w:style w:type="paragraph" w:styleId="Footer">
    <w:name w:val="footer"/>
    <w:basedOn w:val="Normal"/>
    <w:link w:val="FooterChar"/>
    <w:uiPriority w:val="99"/>
    <w:unhideWhenUsed/>
    <w:rsid w:val="00B02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A27"/>
  </w:style>
  <w:style w:type="paragraph" w:styleId="BodyText">
    <w:name w:val="Body Text"/>
    <w:basedOn w:val="Normal"/>
    <w:link w:val="BodyTextChar"/>
    <w:uiPriority w:val="1"/>
    <w:qFormat/>
    <w:rsid w:val="00F06BAD"/>
    <w:pPr>
      <w:widowControl w:val="0"/>
      <w:spacing w:after="0" w:line="240" w:lineRule="auto"/>
      <w:ind w:left="20"/>
    </w:pPr>
    <w:rPr>
      <w:rFonts w:ascii="Century" w:eastAsia="Century" w:hAnsi="Century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F06BAD"/>
    <w:rPr>
      <w:rFonts w:ascii="Century" w:eastAsia="Century" w:hAnsi="Century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221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21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21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21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21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3F1A9-CBCC-4060-8F76-ED27F75C0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2020-02-07T14:54:00Z</dcterms:created>
  <dcterms:modified xsi:type="dcterms:W3CDTF">2020-02-14T20:21:00Z</dcterms:modified>
</cp:coreProperties>
</file>