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91D" w:rsidRPr="00503874" w:rsidRDefault="00C1091D" w:rsidP="00C1091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C1091D" w:rsidRPr="00503874" w:rsidRDefault="00C1091D" w:rsidP="00C1091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C1091D" w:rsidRPr="00503874" w:rsidRDefault="00C1091D" w:rsidP="00C1091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E32EFC">
        <w:rPr>
          <w:rFonts w:ascii="Times New Roman" w:eastAsia="Arial" w:hAnsi="Times New Roman"/>
          <w:i/>
          <w:sz w:val="26"/>
          <w:szCs w:val="26"/>
        </w:rPr>
        <w:t>See United States v. Jimenez</w:t>
      </w:r>
      <w:r w:rsidRPr="00503874">
        <w:rPr>
          <w:rFonts w:ascii="Times New Roman" w:eastAsia="Arial" w:hAnsi="Times New Roman"/>
          <w:sz w:val="26"/>
          <w:szCs w:val="26"/>
        </w:rPr>
        <w:t>, 622 F.2d 753 (5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1980).</w:t>
      </w:r>
    </w:p>
    <w:p w:rsidR="00C1091D" w:rsidRPr="00503874" w:rsidRDefault="00C1091D" w:rsidP="00C1091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C1091D" w:rsidRPr="00503874" w:rsidRDefault="00C1091D" w:rsidP="00C1091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E32EFC">
        <w:rPr>
          <w:rFonts w:ascii="Times New Roman" w:eastAsia="Arial" w:hAnsi="Times New Roman"/>
          <w:i/>
          <w:sz w:val="26"/>
          <w:szCs w:val="26"/>
        </w:rPr>
        <w:t>United States v. Marolla</w:t>
      </w:r>
      <w:r w:rsidRPr="00503874">
        <w:rPr>
          <w:rFonts w:ascii="Times New Roman" w:eastAsia="Arial" w:hAnsi="Times New Roman"/>
          <w:sz w:val="26"/>
          <w:szCs w:val="26"/>
        </w:rPr>
        <w:t>, 766 F.2d 457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1985), withdrawal, to constitute a defense, must come before the completion or consummation of the offense through the commission of an overt act.</w:t>
      </w:r>
    </w:p>
    <w:p w:rsidR="00C1091D" w:rsidRPr="00503874" w:rsidRDefault="00C1091D" w:rsidP="00C1091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C1091D" w:rsidRPr="00503874" w:rsidRDefault="00C1091D" w:rsidP="00C1091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This instruction is sometimes used when the charged conspiracy is not pursuant to 18 U.S.C. § 371 (general conspiracy charge). The holding of </w:t>
      </w:r>
      <w:r w:rsidRPr="00E32EFC">
        <w:rPr>
          <w:rFonts w:ascii="Times New Roman" w:eastAsia="Arial" w:hAnsi="Times New Roman"/>
          <w:i/>
          <w:sz w:val="26"/>
          <w:szCs w:val="26"/>
        </w:rPr>
        <w:t>Marolla</w:t>
      </w:r>
      <w:r w:rsidRPr="00503874">
        <w:rPr>
          <w:rFonts w:ascii="Times New Roman" w:eastAsia="Arial" w:hAnsi="Times New Roman"/>
          <w:sz w:val="26"/>
          <w:szCs w:val="26"/>
        </w:rPr>
        <w:t xml:space="preserve"> prevents a defendant from raising withdrawal under a conspiracy statute that does not require proof of an overt act (such as 21 U.S.C § 846, 955c, and 963) except in two instances. First, when the defendant raises withdrawal as a defense to </w:t>
      </w:r>
      <w:r w:rsidRPr="00503874">
        <w:rPr>
          <w:rFonts w:ascii="Times New Roman" w:eastAsia="Arial" w:hAnsi="Times New Roman"/>
          <w:sz w:val="26"/>
          <w:szCs w:val="26"/>
          <w:u w:val="single"/>
        </w:rPr>
        <w:t>Pinkerton</w:t>
      </w:r>
      <w:r w:rsidRPr="00503874">
        <w:rPr>
          <w:rFonts w:ascii="Times New Roman" w:eastAsia="Arial" w:hAnsi="Times New Roman"/>
          <w:sz w:val="26"/>
          <w:szCs w:val="26"/>
        </w:rPr>
        <w:t xml:space="preserve"> liability, in which case withdrawal is a defense to subsequent criminal conduct of the defendant’s co-conspirators. </w:t>
      </w:r>
      <w:r w:rsidRPr="00E32EFC">
        <w:rPr>
          <w:rFonts w:ascii="Times New Roman" w:eastAsia="Arial" w:hAnsi="Times New Roman"/>
          <w:i/>
          <w:sz w:val="26"/>
          <w:szCs w:val="26"/>
        </w:rPr>
        <w:t>See United States v. Alvarez</w:t>
      </w:r>
      <w:r w:rsidRPr="00503874">
        <w:rPr>
          <w:rFonts w:ascii="Times New Roman" w:eastAsia="Arial" w:hAnsi="Times New Roman"/>
          <w:sz w:val="26"/>
          <w:szCs w:val="26"/>
        </w:rPr>
        <w:t>, 755 F.2d 830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1985); </w:t>
      </w:r>
      <w:r w:rsidRPr="00E32EFC">
        <w:rPr>
          <w:rFonts w:ascii="Times New Roman" w:eastAsia="Arial" w:hAnsi="Times New Roman"/>
          <w:i/>
          <w:sz w:val="26"/>
          <w:szCs w:val="26"/>
        </w:rPr>
        <w:t>United States v. Marolla</w:t>
      </w:r>
      <w:r w:rsidRPr="00503874">
        <w:rPr>
          <w:rFonts w:ascii="Times New Roman" w:eastAsia="Arial" w:hAnsi="Times New Roman"/>
          <w:sz w:val="26"/>
          <w:szCs w:val="26"/>
        </w:rPr>
        <w:t>, 766 F.2d 457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1985). Second, when the defendant claims to have withdrawn from the conspiracy outside the limitations period, in which case withdrawal, in conjunction with the operation of the statute of limitations, is a complete defense to the conspiracy charge. </w:t>
      </w:r>
      <w:r w:rsidRPr="00E32EFC">
        <w:rPr>
          <w:rFonts w:ascii="Times New Roman" w:eastAsia="Arial" w:hAnsi="Times New Roman"/>
          <w:i/>
          <w:sz w:val="26"/>
          <w:szCs w:val="26"/>
        </w:rPr>
        <w:t>United States v. Harriston</w:t>
      </w:r>
      <w:r w:rsidRPr="00503874">
        <w:rPr>
          <w:rFonts w:ascii="Times New Roman" w:eastAsia="Arial" w:hAnsi="Times New Roman"/>
          <w:sz w:val="26"/>
          <w:szCs w:val="26"/>
        </w:rPr>
        <w:t>, 329 F.3d 779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2003); </w:t>
      </w:r>
      <w:r w:rsidRPr="00E32EFC">
        <w:rPr>
          <w:rFonts w:ascii="Times New Roman" w:eastAsia="Arial" w:hAnsi="Times New Roman"/>
          <w:i/>
          <w:sz w:val="26"/>
          <w:szCs w:val="26"/>
        </w:rPr>
        <w:t>United States v. Arias</w:t>
      </w:r>
      <w:r w:rsidRPr="00503874">
        <w:rPr>
          <w:rFonts w:ascii="Times New Roman" w:eastAsia="Arial" w:hAnsi="Times New Roman"/>
          <w:sz w:val="26"/>
          <w:szCs w:val="26"/>
        </w:rPr>
        <w:t>, 431 F.3d 1327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2005).</w:t>
      </w:r>
    </w:p>
    <w:p w:rsidR="00C1091D" w:rsidRPr="00503874" w:rsidRDefault="00C1091D" w:rsidP="00C1091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C1091D" w:rsidRDefault="00C1091D" w:rsidP="00C1091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Withdrawal is an affirmative defense. The defendant must prove “that he undertook affirmative steps, inconsistent with the objects of the conspiracy, to disavow or to defeat the conspiratorial objectives, </w:t>
      </w:r>
      <w:r w:rsidRPr="00503874">
        <w:rPr>
          <w:rFonts w:ascii="Times New Roman" w:eastAsia="Arial" w:hAnsi="Times New Roman"/>
          <w:sz w:val="26"/>
          <w:szCs w:val="26"/>
          <w:u w:val="single"/>
        </w:rPr>
        <w:t>and</w:t>
      </w:r>
      <w:r w:rsidRPr="00503874">
        <w:rPr>
          <w:rFonts w:ascii="Times New Roman" w:eastAsia="Arial" w:hAnsi="Times New Roman"/>
          <w:sz w:val="26"/>
          <w:szCs w:val="26"/>
        </w:rPr>
        <w:t xml:space="preserve"> either communicated those acts in a manner reasonably calculated to reach his co-conspirators or disclosed the illegal scheme to law enforcement authorities.” </w:t>
      </w:r>
      <w:r w:rsidRPr="00E32EFC">
        <w:rPr>
          <w:rFonts w:ascii="Times New Roman" w:eastAsia="Arial" w:hAnsi="Times New Roman"/>
          <w:i/>
          <w:sz w:val="26"/>
          <w:szCs w:val="26"/>
        </w:rPr>
        <w:t>United States v. Firestone</w:t>
      </w:r>
      <w:r w:rsidRPr="00503874">
        <w:rPr>
          <w:rFonts w:ascii="Times New Roman" w:eastAsia="Arial" w:hAnsi="Times New Roman"/>
          <w:sz w:val="26"/>
          <w:szCs w:val="26"/>
        </w:rPr>
        <w:t>, 816 F.2d 583, 589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Cir.), </w:t>
      </w:r>
      <w:r w:rsidRPr="00E32EFC">
        <w:rPr>
          <w:rFonts w:ascii="Times New Roman" w:eastAsia="Arial" w:hAnsi="Times New Roman"/>
          <w:i/>
          <w:sz w:val="26"/>
          <w:szCs w:val="26"/>
        </w:rPr>
        <w:t>cert. denied</w:t>
      </w:r>
      <w:r w:rsidRPr="00503874">
        <w:rPr>
          <w:rFonts w:ascii="Times New Roman" w:eastAsia="Arial" w:hAnsi="Times New Roman"/>
          <w:sz w:val="26"/>
          <w:szCs w:val="26"/>
        </w:rPr>
        <w:t>, 484 U.S. 948, 108 S. Ct. 338, 98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 xml:space="preserve">2d 365 (1987). Neither arrest nor incarceration during the time frame of the conspiracy automatically triggers withdrawal from a conspiracy. </w:t>
      </w:r>
      <w:r w:rsidRPr="00E32EFC">
        <w:rPr>
          <w:rFonts w:ascii="Times New Roman" w:eastAsia="Arial" w:hAnsi="Times New Roman"/>
          <w:i/>
          <w:sz w:val="26"/>
          <w:szCs w:val="26"/>
        </w:rPr>
        <w:t>United States v. Gonzalez</w:t>
      </w:r>
      <w:r w:rsidRPr="00503874">
        <w:rPr>
          <w:rFonts w:ascii="Times New Roman" w:eastAsia="Arial" w:hAnsi="Times New Roman"/>
          <w:sz w:val="26"/>
          <w:szCs w:val="26"/>
        </w:rPr>
        <w:t>, 940 F.2d 1413, 1427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1991).</w:t>
      </w:r>
      <w:bookmarkEnd w:id="0"/>
    </w:p>
    <w:sectPr w:rsidR="00725167" w:rsidRPr="00C109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843" w:rsidRDefault="00297843" w:rsidP="00297843">
      <w:pPr>
        <w:spacing w:after="0" w:line="240" w:lineRule="auto"/>
      </w:pPr>
      <w:r>
        <w:separator/>
      </w:r>
    </w:p>
  </w:endnote>
  <w:endnote w:type="continuationSeparator" w:id="0">
    <w:p w:rsidR="00297843" w:rsidRDefault="00297843" w:rsidP="00297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843" w:rsidRDefault="00297843" w:rsidP="00297843">
      <w:pPr>
        <w:spacing w:after="0" w:line="240" w:lineRule="auto"/>
      </w:pPr>
      <w:r>
        <w:separator/>
      </w:r>
    </w:p>
  </w:footnote>
  <w:footnote w:type="continuationSeparator" w:id="0">
    <w:p w:rsidR="00297843" w:rsidRDefault="00297843" w:rsidP="002978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91548"/>
    <w:rsid w:val="000C32C1"/>
    <w:rsid w:val="001217D5"/>
    <w:rsid w:val="00135397"/>
    <w:rsid w:val="00157747"/>
    <w:rsid w:val="00194E82"/>
    <w:rsid w:val="001E5B53"/>
    <w:rsid w:val="00236275"/>
    <w:rsid w:val="00245EF2"/>
    <w:rsid w:val="002604B9"/>
    <w:rsid w:val="00297843"/>
    <w:rsid w:val="003067A0"/>
    <w:rsid w:val="003A75E9"/>
    <w:rsid w:val="003D6207"/>
    <w:rsid w:val="00406A43"/>
    <w:rsid w:val="00465F35"/>
    <w:rsid w:val="004C148A"/>
    <w:rsid w:val="00503A01"/>
    <w:rsid w:val="00511CE4"/>
    <w:rsid w:val="0056064A"/>
    <w:rsid w:val="005C4DB9"/>
    <w:rsid w:val="00615301"/>
    <w:rsid w:val="006179FB"/>
    <w:rsid w:val="00632C46"/>
    <w:rsid w:val="006B1FC0"/>
    <w:rsid w:val="00725167"/>
    <w:rsid w:val="00780FDD"/>
    <w:rsid w:val="00783A2A"/>
    <w:rsid w:val="007C4B9C"/>
    <w:rsid w:val="0081575C"/>
    <w:rsid w:val="008A442C"/>
    <w:rsid w:val="008B4118"/>
    <w:rsid w:val="008C025F"/>
    <w:rsid w:val="008E4BA2"/>
    <w:rsid w:val="008E7C9B"/>
    <w:rsid w:val="009458BA"/>
    <w:rsid w:val="009745AC"/>
    <w:rsid w:val="009F5DAD"/>
    <w:rsid w:val="00A2254E"/>
    <w:rsid w:val="00A355FD"/>
    <w:rsid w:val="00A66EA6"/>
    <w:rsid w:val="00AA01A6"/>
    <w:rsid w:val="00AA4174"/>
    <w:rsid w:val="00AC24E2"/>
    <w:rsid w:val="00AE20D4"/>
    <w:rsid w:val="00AF2C77"/>
    <w:rsid w:val="00B111CD"/>
    <w:rsid w:val="00B85D99"/>
    <w:rsid w:val="00B930F5"/>
    <w:rsid w:val="00BA1F2B"/>
    <w:rsid w:val="00BD01A4"/>
    <w:rsid w:val="00BE645C"/>
    <w:rsid w:val="00C1091D"/>
    <w:rsid w:val="00CC4195"/>
    <w:rsid w:val="00CD51F7"/>
    <w:rsid w:val="00CD734E"/>
    <w:rsid w:val="00CE7DC5"/>
    <w:rsid w:val="00CF4F9A"/>
    <w:rsid w:val="00D163A7"/>
    <w:rsid w:val="00D7262F"/>
    <w:rsid w:val="00DA00D9"/>
    <w:rsid w:val="00DC18AE"/>
    <w:rsid w:val="00DE7E97"/>
    <w:rsid w:val="00DE7F68"/>
    <w:rsid w:val="00E109DF"/>
    <w:rsid w:val="00E20CB0"/>
    <w:rsid w:val="00E31401"/>
    <w:rsid w:val="00E32EFC"/>
    <w:rsid w:val="00E419F1"/>
    <w:rsid w:val="00E42DFC"/>
    <w:rsid w:val="00E627E0"/>
    <w:rsid w:val="00E85563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7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843"/>
  </w:style>
  <w:style w:type="paragraph" w:styleId="Footer">
    <w:name w:val="footer"/>
    <w:basedOn w:val="Normal"/>
    <w:link w:val="FooterChar"/>
    <w:uiPriority w:val="99"/>
    <w:unhideWhenUsed/>
    <w:rsid w:val="00297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7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843"/>
  </w:style>
  <w:style w:type="paragraph" w:styleId="Footer">
    <w:name w:val="footer"/>
    <w:basedOn w:val="Normal"/>
    <w:link w:val="FooterChar"/>
    <w:uiPriority w:val="99"/>
    <w:unhideWhenUsed/>
    <w:rsid w:val="00297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1673</Characters>
  <Application>Microsoft Office Word</Application>
  <DocSecurity>0</DocSecurity>
  <Lines>13</Lines>
  <Paragraphs>3</Paragraphs>
  <ScaleCrop>false</ScaleCrop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2014-03-31T23:16:00Z</dcterms:created>
  <dcterms:modified xsi:type="dcterms:W3CDTF">2014-06-19T14:22:00Z</dcterms:modified>
</cp:coreProperties>
</file>