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9F1" w:rsidRPr="00503874" w:rsidRDefault="00E419F1" w:rsidP="00E419F1">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E419F1" w:rsidRPr="00503874" w:rsidRDefault="00E419F1" w:rsidP="00E419F1">
      <w:pPr>
        <w:spacing w:after="0" w:line="240" w:lineRule="auto"/>
        <w:jc w:val="both"/>
        <w:rPr>
          <w:rFonts w:ascii="Times New Roman" w:eastAsia="Arial" w:hAnsi="Times New Roman"/>
          <w:sz w:val="26"/>
          <w:szCs w:val="26"/>
        </w:rPr>
      </w:pPr>
    </w:p>
    <w:p w:rsidR="00E419F1" w:rsidRPr="00503874" w:rsidRDefault="00E419F1" w:rsidP="00E419F1">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 152</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provides that whoever:</w:t>
      </w:r>
    </w:p>
    <w:p w:rsidR="00E419F1" w:rsidRPr="00503874" w:rsidRDefault="00E419F1" w:rsidP="00E419F1">
      <w:pPr>
        <w:spacing w:after="0" w:line="240" w:lineRule="auto"/>
        <w:rPr>
          <w:rFonts w:ascii="Times New Roman" w:eastAsia="Arial" w:hAnsi="Times New Roman"/>
          <w:sz w:val="26"/>
          <w:szCs w:val="26"/>
        </w:rPr>
      </w:pPr>
    </w:p>
    <w:p w:rsidR="00E419F1" w:rsidRPr="00503874" w:rsidRDefault="00E419F1" w:rsidP="00E419F1">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knowingly and fraudulently conceals… in connection with a case under title 11, from creditors or the United States Trustee, any property belonging to the estate of a debtor [shall be guilty of an offense against the United States].</w:t>
      </w:r>
    </w:p>
    <w:p w:rsidR="00E419F1" w:rsidRPr="00503874" w:rsidRDefault="00E419F1" w:rsidP="00E419F1">
      <w:pPr>
        <w:spacing w:after="0" w:line="240" w:lineRule="auto"/>
        <w:jc w:val="both"/>
        <w:rPr>
          <w:rFonts w:ascii="Times New Roman" w:eastAsia="Arial" w:hAnsi="Times New Roman"/>
          <w:sz w:val="26"/>
          <w:szCs w:val="26"/>
        </w:rPr>
      </w:pPr>
    </w:p>
    <w:p w:rsidR="00E419F1" w:rsidRPr="00503874" w:rsidRDefault="00E419F1" w:rsidP="00E419F1">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Maximum Penalty: Five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years imprisonment and applicable fine.</w:t>
      </w:r>
    </w:p>
    <w:p w:rsidR="00E419F1" w:rsidRPr="00503874" w:rsidRDefault="00E419F1" w:rsidP="00E419F1">
      <w:pPr>
        <w:spacing w:after="0" w:line="240" w:lineRule="auto"/>
        <w:jc w:val="both"/>
        <w:rPr>
          <w:rFonts w:ascii="Times New Roman" w:eastAsia="Arial" w:hAnsi="Times New Roman"/>
          <w:sz w:val="26"/>
          <w:szCs w:val="26"/>
        </w:rPr>
      </w:pPr>
    </w:p>
    <w:p w:rsidR="00E419F1" w:rsidRPr="00503874" w:rsidRDefault="00E419F1" w:rsidP="00E419F1">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Some of the definitions in this instruction are from 11 U.S.C. </w:t>
      </w:r>
      <w:r w:rsidRPr="00503874">
        <w:rPr>
          <w:rFonts w:ascii="Times New Roman" w:eastAsia="Arial" w:hAnsi="Times New Roman" w:cs="Times New Roman"/>
          <w:sz w:val="26"/>
          <w:szCs w:val="26"/>
        </w:rPr>
        <w:t>§§ 101 and 541.</w:t>
      </w:r>
    </w:p>
    <w:p w:rsidR="00E419F1" w:rsidRPr="00503874" w:rsidRDefault="00E419F1" w:rsidP="00E419F1">
      <w:pPr>
        <w:spacing w:after="0" w:line="240" w:lineRule="auto"/>
        <w:jc w:val="both"/>
        <w:rPr>
          <w:rFonts w:ascii="Times New Roman" w:eastAsia="Arial" w:hAnsi="Times New Roman" w:cs="Times New Roman"/>
          <w:sz w:val="26"/>
          <w:szCs w:val="26"/>
        </w:rPr>
      </w:pPr>
    </w:p>
    <w:p w:rsidR="00725167" w:rsidRPr="00E419F1" w:rsidRDefault="00E419F1" w:rsidP="00E419F1">
      <w:pPr>
        <w:spacing w:after="0" w:line="240" w:lineRule="auto"/>
        <w:jc w:val="both"/>
        <w:rPr>
          <w:rFonts w:ascii="Times New Roman" w:eastAsia="Arial" w:hAnsi="Times New Roman"/>
          <w:sz w:val="26"/>
          <w:szCs w:val="26"/>
        </w:rPr>
      </w:pPr>
      <w:r w:rsidRPr="00503874">
        <w:rPr>
          <w:rFonts w:ascii="Times New Roman" w:eastAsia="Arial" w:hAnsi="Times New Roman" w:cs="Times New Roman"/>
          <w:sz w:val="26"/>
          <w:szCs w:val="26"/>
        </w:rPr>
        <w:t xml:space="preserve">The Eleventh Circuit determined that in the term “property of the estate” has a broader definition in Chapter 13 bankruptcy cases, and includes “earnings from services performed by the debtor after the commencement of the case but before the case is closed, dismissed or converted…” </w:t>
      </w:r>
      <w:r w:rsidRPr="000E79B6">
        <w:rPr>
          <w:rFonts w:ascii="Times New Roman" w:eastAsia="Arial" w:hAnsi="Times New Roman" w:cs="Times New Roman"/>
          <w:i/>
          <w:sz w:val="26"/>
          <w:szCs w:val="26"/>
        </w:rPr>
        <w:t>In re Waldron</w:t>
      </w:r>
      <w:r w:rsidRPr="00503874">
        <w:rPr>
          <w:rFonts w:ascii="Times New Roman" w:eastAsia="Arial" w:hAnsi="Times New Roman" w:cs="Times New Roman"/>
          <w:sz w:val="26"/>
          <w:szCs w:val="26"/>
        </w:rPr>
        <w:t>, 536 F.3d 1239, 1241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2008) (quoting 11 U.S.C. § 1306</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Chapter 11, as amended by BAPCPA</w:t>
      </w:r>
      <w:r>
        <w:rPr>
          <w:rFonts w:ascii="Times New Roman" w:eastAsia="Arial" w:hAnsi="Times New Roman" w:cs="Times New Roman"/>
          <w:sz w:val="26"/>
          <w:szCs w:val="26"/>
        </w:rPr>
        <w:t>)</w:t>
      </w:r>
      <w:r w:rsidRPr="00503874">
        <w:rPr>
          <w:rFonts w:ascii="Times New Roman" w:eastAsia="Arial" w:hAnsi="Times New Roman" w:cs="Times New Roman"/>
          <w:sz w:val="26"/>
          <w:szCs w:val="26"/>
        </w:rPr>
        <w:t>, has a similar provision for individual Chapter 11 debtors, 11 U.S.C. § 1115</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as does Chapter 12, 11 U.S.C. § 1207</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w:t>
      </w:r>
      <w:bookmarkEnd w:id="0"/>
    </w:p>
    <w:sectPr w:rsidR="00725167" w:rsidRPr="00E419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4CF" w:rsidRDefault="007514CF" w:rsidP="007514CF">
      <w:pPr>
        <w:spacing w:after="0" w:line="240" w:lineRule="auto"/>
      </w:pPr>
      <w:r>
        <w:separator/>
      </w:r>
    </w:p>
  </w:endnote>
  <w:endnote w:type="continuationSeparator" w:id="0">
    <w:p w:rsidR="007514CF" w:rsidRDefault="007514CF" w:rsidP="00751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4CF" w:rsidRDefault="007514CF" w:rsidP="007514CF">
      <w:pPr>
        <w:spacing w:after="0" w:line="240" w:lineRule="auto"/>
      </w:pPr>
      <w:r>
        <w:separator/>
      </w:r>
    </w:p>
  </w:footnote>
  <w:footnote w:type="continuationSeparator" w:id="0">
    <w:p w:rsidR="007514CF" w:rsidRDefault="007514CF" w:rsidP="007514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0E79B6"/>
    <w:rsid w:val="00135397"/>
    <w:rsid w:val="00157747"/>
    <w:rsid w:val="00194E82"/>
    <w:rsid w:val="001E5B53"/>
    <w:rsid w:val="00245EF2"/>
    <w:rsid w:val="002604B9"/>
    <w:rsid w:val="003067A0"/>
    <w:rsid w:val="004C148A"/>
    <w:rsid w:val="00503A01"/>
    <w:rsid w:val="00511CE4"/>
    <w:rsid w:val="0056064A"/>
    <w:rsid w:val="005C4DB9"/>
    <w:rsid w:val="00615301"/>
    <w:rsid w:val="006179FB"/>
    <w:rsid w:val="00632C46"/>
    <w:rsid w:val="00725167"/>
    <w:rsid w:val="007514CF"/>
    <w:rsid w:val="00780FDD"/>
    <w:rsid w:val="00783A2A"/>
    <w:rsid w:val="0081575C"/>
    <w:rsid w:val="008B4118"/>
    <w:rsid w:val="008E4BA2"/>
    <w:rsid w:val="009458BA"/>
    <w:rsid w:val="009F5DAD"/>
    <w:rsid w:val="00A355FD"/>
    <w:rsid w:val="00A357D6"/>
    <w:rsid w:val="00A66EA6"/>
    <w:rsid w:val="00AA01A6"/>
    <w:rsid w:val="00AC24E2"/>
    <w:rsid w:val="00AE20D4"/>
    <w:rsid w:val="00AF2C77"/>
    <w:rsid w:val="00B85D99"/>
    <w:rsid w:val="00B930F5"/>
    <w:rsid w:val="00BA1F2B"/>
    <w:rsid w:val="00BE645C"/>
    <w:rsid w:val="00CC4195"/>
    <w:rsid w:val="00CD51F7"/>
    <w:rsid w:val="00CD734E"/>
    <w:rsid w:val="00CE7DC5"/>
    <w:rsid w:val="00CF4F9A"/>
    <w:rsid w:val="00D163A7"/>
    <w:rsid w:val="00D7262F"/>
    <w:rsid w:val="00DA00D9"/>
    <w:rsid w:val="00DC18AE"/>
    <w:rsid w:val="00DE7E97"/>
    <w:rsid w:val="00DE7F68"/>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51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4CF"/>
  </w:style>
  <w:style w:type="paragraph" w:styleId="Footer">
    <w:name w:val="footer"/>
    <w:basedOn w:val="Normal"/>
    <w:link w:val="FooterChar"/>
    <w:uiPriority w:val="99"/>
    <w:unhideWhenUsed/>
    <w:rsid w:val="00751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4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51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4CF"/>
  </w:style>
  <w:style w:type="paragraph" w:styleId="Footer">
    <w:name w:val="footer"/>
    <w:basedOn w:val="Normal"/>
    <w:link w:val="FooterChar"/>
    <w:uiPriority w:val="99"/>
    <w:unhideWhenUsed/>
    <w:rsid w:val="00751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1089</Characters>
  <Application>Microsoft Office Word</Application>
  <DocSecurity>0</DocSecurity>
  <Lines>9</Lines>
  <Paragraphs>2</Paragraphs>
  <ScaleCrop>false</ScaleCrop>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2014-03-31T23:24:00Z</dcterms:created>
  <dcterms:modified xsi:type="dcterms:W3CDTF">2014-06-19T15:29:00Z</dcterms:modified>
</cp:coreProperties>
</file>