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52A" w:rsidRPr="00503874" w:rsidRDefault="0002352A" w:rsidP="0002352A">
      <w:pPr>
        <w:spacing w:after="0" w:line="240" w:lineRule="auto"/>
        <w:jc w:val="both"/>
        <w:rPr>
          <w:rFonts w:ascii="Times New Roman" w:eastAsia="Arial" w:hAnsi="Times New Roman"/>
          <w:sz w:val="26"/>
          <w:szCs w:val="26"/>
        </w:rPr>
      </w:pPr>
      <w:r w:rsidRPr="00503874">
        <w:rPr>
          <w:rFonts w:ascii="Times New Roman" w:eastAsia="Arial" w:hAnsi="Times New Roman"/>
          <w:b/>
          <w:sz w:val="26"/>
          <w:szCs w:val="26"/>
          <w:u w:val="single"/>
        </w:rPr>
        <w:t>ANNOTATIONS AND COMMENTS</w:t>
      </w:r>
    </w:p>
    <w:p w:rsidR="0002352A" w:rsidRPr="00503874" w:rsidRDefault="0002352A" w:rsidP="0002352A">
      <w:pPr>
        <w:spacing w:after="0" w:line="240" w:lineRule="auto"/>
        <w:jc w:val="both"/>
        <w:rPr>
          <w:rFonts w:ascii="Times New Roman" w:eastAsia="Arial" w:hAnsi="Times New Roman"/>
          <w:sz w:val="26"/>
          <w:szCs w:val="26"/>
        </w:rPr>
      </w:pPr>
    </w:p>
    <w:p w:rsidR="00564932" w:rsidRPr="00564932" w:rsidRDefault="00564932" w:rsidP="00564932">
      <w:pPr>
        <w:spacing w:after="0" w:line="240" w:lineRule="auto"/>
        <w:jc w:val="both"/>
        <w:rPr>
          <w:rFonts w:ascii="Times New Roman" w:eastAsia="Arial" w:hAnsi="Times New Roman"/>
          <w:sz w:val="26"/>
          <w:szCs w:val="26"/>
        </w:rPr>
      </w:pPr>
      <w:r w:rsidRPr="00564932">
        <w:rPr>
          <w:rFonts w:ascii="Times New Roman" w:eastAsia="Arial" w:hAnsi="Times New Roman"/>
          <w:sz w:val="26"/>
          <w:szCs w:val="26"/>
        </w:rPr>
        <w:t>18 U.S.C. §666(a</w:t>
      </w:r>
      <w:proofErr w:type="gramStart"/>
      <w:r w:rsidRPr="00564932">
        <w:rPr>
          <w:rFonts w:ascii="Times New Roman" w:eastAsia="Arial" w:hAnsi="Times New Roman"/>
          <w:sz w:val="26"/>
          <w:szCs w:val="26"/>
        </w:rPr>
        <w:t>)(</w:t>
      </w:r>
      <w:proofErr w:type="gramEnd"/>
      <w:r w:rsidRPr="00564932">
        <w:rPr>
          <w:rFonts w:ascii="Times New Roman" w:eastAsia="Arial" w:hAnsi="Times New Roman"/>
          <w:sz w:val="26"/>
          <w:szCs w:val="26"/>
        </w:rPr>
        <w:t>1)(A) and (b) provides:</w:t>
      </w:r>
    </w:p>
    <w:p w:rsidR="0002352A" w:rsidRPr="00503874" w:rsidRDefault="0002352A" w:rsidP="0002352A">
      <w:pPr>
        <w:spacing w:after="0" w:line="240" w:lineRule="auto"/>
        <w:ind w:right="360"/>
        <w:jc w:val="both"/>
        <w:rPr>
          <w:rFonts w:ascii="Times New Roman" w:eastAsia="Arial" w:hAnsi="Times New Roman"/>
          <w:sz w:val="26"/>
          <w:szCs w:val="26"/>
          <w:highlight w:val="lightGray"/>
        </w:rPr>
      </w:pPr>
    </w:p>
    <w:p w:rsidR="0002352A" w:rsidRPr="00503874" w:rsidRDefault="0002352A" w:rsidP="0002352A">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Whoever, if the circumstance described in subsection </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2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of this section exists - -</w:t>
      </w:r>
    </w:p>
    <w:p w:rsidR="0002352A" w:rsidRPr="00503874" w:rsidRDefault="0002352A" w:rsidP="0002352A">
      <w:pPr>
        <w:spacing w:after="0" w:line="240" w:lineRule="auto"/>
        <w:ind w:left="360" w:right="360" w:firstLine="360"/>
        <w:jc w:val="both"/>
        <w:rPr>
          <w:rFonts w:ascii="Times New Roman" w:eastAsia="Arial" w:hAnsi="Times New Roman"/>
          <w:sz w:val="26"/>
          <w:szCs w:val="26"/>
        </w:rPr>
      </w:pPr>
    </w:p>
    <w:p w:rsidR="00564932" w:rsidRPr="00564932" w:rsidRDefault="0002352A" w:rsidP="00564932">
      <w:pPr>
        <w:spacing w:after="0" w:line="240" w:lineRule="auto"/>
        <w:ind w:left="720" w:right="72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w:t>
      </w:r>
      <w:proofErr w:type="gramStart"/>
      <w:r w:rsidRPr="00503874">
        <w:rPr>
          <w:rFonts w:ascii="Times New Roman" w:eastAsia="Arial" w:hAnsi="Times New Roman"/>
          <w:sz w:val="26"/>
          <w:szCs w:val="26"/>
        </w:rPr>
        <w:t>being</w:t>
      </w:r>
      <w:proofErr w:type="gramEnd"/>
      <w:r w:rsidRPr="00503874">
        <w:rPr>
          <w:rFonts w:ascii="Times New Roman" w:eastAsia="Arial" w:hAnsi="Times New Roman"/>
          <w:sz w:val="26"/>
          <w:szCs w:val="26"/>
        </w:rPr>
        <w:t xml:space="preserve"> </w:t>
      </w:r>
      <w:r w:rsidR="00564932" w:rsidRPr="00564932">
        <w:rPr>
          <w:rFonts w:ascii="Times New Roman" w:eastAsia="Arial" w:hAnsi="Times New Roman"/>
          <w:sz w:val="26"/>
          <w:szCs w:val="26"/>
        </w:rPr>
        <w:t>an agent of an organization, or of a State, local, or Indian tribal government, or any agency thereof - -</w:t>
      </w:r>
    </w:p>
    <w:p w:rsidR="0002352A" w:rsidRPr="00503874" w:rsidRDefault="0002352A" w:rsidP="00564932">
      <w:pPr>
        <w:spacing w:after="0" w:line="240" w:lineRule="auto"/>
        <w:ind w:left="720" w:right="720" w:firstLine="360"/>
        <w:jc w:val="both"/>
        <w:rPr>
          <w:rFonts w:ascii="Times New Roman" w:eastAsia="Arial" w:hAnsi="Times New Roman"/>
          <w:sz w:val="26"/>
          <w:szCs w:val="26"/>
        </w:rPr>
      </w:pPr>
    </w:p>
    <w:p w:rsidR="00564932" w:rsidRDefault="00564932" w:rsidP="00564932">
      <w:pPr>
        <w:spacing w:after="0" w:line="240" w:lineRule="auto"/>
        <w:ind w:left="1080" w:right="1080" w:firstLine="360"/>
        <w:jc w:val="both"/>
        <w:rPr>
          <w:rFonts w:ascii="Times New Roman" w:eastAsia="Arial" w:hAnsi="Times New Roman"/>
          <w:sz w:val="26"/>
          <w:szCs w:val="26"/>
        </w:rPr>
      </w:pPr>
      <w:r w:rsidRPr="00564932">
        <w:rPr>
          <w:rFonts w:ascii="Times New Roman" w:eastAsia="Arial" w:hAnsi="Times New Roman"/>
          <w:sz w:val="26"/>
          <w:szCs w:val="26"/>
        </w:rPr>
        <w:t xml:space="preserve">(A) </w:t>
      </w:r>
      <w:proofErr w:type="gramStart"/>
      <w:r w:rsidRPr="00564932">
        <w:rPr>
          <w:rFonts w:ascii="Times New Roman" w:eastAsia="Arial" w:hAnsi="Times New Roman"/>
          <w:sz w:val="26"/>
          <w:szCs w:val="26"/>
        </w:rPr>
        <w:t>embezzles</w:t>
      </w:r>
      <w:proofErr w:type="gramEnd"/>
      <w:r w:rsidRPr="00564932">
        <w:rPr>
          <w:rFonts w:ascii="Times New Roman" w:eastAsia="Arial" w:hAnsi="Times New Roman"/>
          <w:sz w:val="26"/>
          <w:szCs w:val="26"/>
        </w:rPr>
        <w:t>, steals, obtains by fraud, or otherwise without authority knowingly converts to the use of any person other than the rightful owner or intentionally misapplies, property that - -</w:t>
      </w:r>
    </w:p>
    <w:p w:rsidR="00564932" w:rsidRPr="00564932" w:rsidRDefault="00564932" w:rsidP="00564932">
      <w:pPr>
        <w:spacing w:after="0" w:line="240" w:lineRule="auto"/>
        <w:ind w:left="1080" w:right="1080" w:firstLine="360"/>
        <w:jc w:val="both"/>
        <w:rPr>
          <w:rFonts w:ascii="Times New Roman" w:eastAsia="Arial" w:hAnsi="Times New Roman"/>
          <w:sz w:val="26"/>
          <w:szCs w:val="26"/>
        </w:rPr>
      </w:pPr>
    </w:p>
    <w:p w:rsidR="00564932" w:rsidRDefault="00564932" w:rsidP="0002352A">
      <w:pPr>
        <w:spacing w:after="0" w:line="240" w:lineRule="auto"/>
        <w:ind w:left="1080" w:right="1080" w:firstLine="360"/>
        <w:jc w:val="both"/>
        <w:rPr>
          <w:rFonts w:ascii="Times New Roman" w:eastAsia="Arial" w:hAnsi="Times New Roman"/>
          <w:sz w:val="26"/>
          <w:szCs w:val="26"/>
        </w:rPr>
      </w:pPr>
      <w:r>
        <w:rPr>
          <w:rFonts w:ascii="Times New Roman" w:eastAsia="Arial" w:hAnsi="Times New Roman"/>
          <w:sz w:val="26"/>
          <w:szCs w:val="26"/>
        </w:rPr>
        <w:tab/>
      </w:r>
      <w:r w:rsidRPr="00564932">
        <w:rPr>
          <w:rFonts w:ascii="Times New Roman" w:eastAsia="Arial" w:hAnsi="Times New Roman"/>
          <w:sz w:val="26"/>
          <w:szCs w:val="26"/>
        </w:rPr>
        <w:t>(</w:t>
      </w:r>
      <w:proofErr w:type="spellStart"/>
      <w:proofErr w:type="gramStart"/>
      <w:r w:rsidRPr="00564932">
        <w:rPr>
          <w:rFonts w:ascii="Times New Roman" w:eastAsia="Arial" w:hAnsi="Times New Roman"/>
          <w:sz w:val="26"/>
          <w:szCs w:val="26"/>
        </w:rPr>
        <w:t>i</w:t>
      </w:r>
      <w:proofErr w:type="spellEnd"/>
      <w:proofErr w:type="gramEnd"/>
      <w:r w:rsidRPr="00564932">
        <w:rPr>
          <w:rFonts w:ascii="Times New Roman" w:eastAsia="Arial" w:hAnsi="Times New Roman"/>
          <w:sz w:val="26"/>
          <w:szCs w:val="26"/>
        </w:rPr>
        <w:t>) is valued at $5,000 or more, and</w:t>
      </w:r>
    </w:p>
    <w:p w:rsidR="00564932" w:rsidRDefault="00564932" w:rsidP="0002352A">
      <w:pPr>
        <w:spacing w:after="0" w:line="240" w:lineRule="auto"/>
        <w:ind w:left="1080" w:right="1080" w:firstLine="360"/>
        <w:jc w:val="both"/>
        <w:rPr>
          <w:rFonts w:ascii="Times New Roman" w:eastAsia="Arial" w:hAnsi="Times New Roman"/>
          <w:sz w:val="26"/>
          <w:szCs w:val="26"/>
        </w:rPr>
      </w:pPr>
    </w:p>
    <w:p w:rsidR="00564932" w:rsidRDefault="00564932" w:rsidP="00564932">
      <w:pPr>
        <w:spacing w:after="0" w:line="240" w:lineRule="auto"/>
        <w:ind w:left="1800" w:right="1080" w:firstLine="360"/>
        <w:jc w:val="both"/>
        <w:rPr>
          <w:rFonts w:ascii="Times New Roman" w:eastAsia="Arial" w:hAnsi="Times New Roman"/>
          <w:sz w:val="26"/>
          <w:szCs w:val="26"/>
        </w:rPr>
      </w:pPr>
      <w:r w:rsidRPr="00564932">
        <w:rPr>
          <w:rFonts w:ascii="Times New Roman" w:eastAsia="Arial" w:hAnsi="Times New Roman"/>
          <w:sz w:val="26"/>
          <w:szCs w:val="26"/>
        </w:rPr>
        <w:t>(</w:t>
      </w:r>
      <w:r>
        <w:rPr>
          <w:rFonts w:ascii="Times New Roman" w:eastAsia="Arial" w:hAnsi="Times New Roman"/>
          <w:sz w:val="26"/>
          <w:szCs w:val="26"/>
        </w:rPr>
        <w:t>i</w:t>
      </w:r>
      <w:r w:rsidRPr="00564932">
        <w:rPr>
          <w:rFonts w:ascii="Times New Roman" w:eastAsia="Arial" w:hAnsi="Times New Roman"/>
          <w:sz w:val="26"/>
          <w:szCs w:val="26"/>
        </w:rPr>
        <w:t xml:space="preserve">i) </w:t>
      </w:r>
      <w:proofErr w:type="gramStart"/>
      <w:r w:rsidRPr="00564932">
        <w:rPr>
          <w:rFonts w:ascii="Times New Roman" w:eastAsia="Arial" w:hAnsi="Times New Roman"/>
          <w:sz w:val="26"/>
          <w:szCs w:val="26"/>
        </w:rPr>
        <w:t>is</w:t>
      </w:r>
      <w:proofErr w:type="gramEnd"/>
      <w:r w:rsidRPr="00564932">
        <w:rPr>
          <w:rFonts w:ascii="Times New Roman" w:eastAsia="Arial" w:hAnsi="Times New Roman"/>
          <w:sz w:val="26"/>
          <w:szCs w:val="26"/>
        </w:rPr>
        <w:t xml:space="preserve"> </w:t>
      </w:r>
      <w:r w:rsidRPr="00564932">
        <w:rPr>
          <w:rFonts w:ascii="Times New Roman" w:eastAsia="Arial" w:hAnsi="Times New Roman"/>
          <w:sz w:val="26"/>
          <w:szCs w:val="26"/>
        </w:rPr>
        <w:t>owned by, or is under the care, custody, or control of such organization, government, or agency [shall be guilty of an offense against the United States]</w:t>
      </w:r>
    </w:p>
    <w:p w:rsidR="0002352A" w:rsidRPr="00503874" w:rsidRDefault="0002352A" w:rsidP="0002352A">
      <w:pPr>
        <w:spacing w:after="0" w:line="240" w:lineRule="auto"/>
        <w:ind w:left="720" w:right="1080"/>
        <w:jc w:val="both"/>
        <w:rPr>
          <w:rFonts w:ascii="Times New Roman" w:eastAsia="Arial" w:hAnsi="Times New Roman"/>
          <w:sz w:val="26"/>
          <w:szCs w:val="26"/>
        </w:rPr>
      </w:pPr>
    </w:p>
    <w:p w:rsidR="0002352A" w:rsidRPr="00503874" w:rsidRDefault="0002352A" w:rsidP="0002352A">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2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The circumstance </w:t>
      </w:r>
      <w:r w:rsidR="00564932" w:rsidRPr="00564932">
        <w:rPr>
          <w:rFonts w:ascii="Times New Roman" w:eastAsia="Arial" w:hAnsi="Times New Roman"/>
          <w:sz w:val="26"/>
          <w:szCs w:val="26"/>
        </w:rPr>
        <w:t>referred to in subsection (a) of this section is that the organization, government, or agency receives, in any one-year period, benefits in excess of $10,000 under a Federal program involving a grant, contract, subsidy, loan, guarantee, insurance, or other form of Federal assistance.</w:t>
      </w:r>
    </w:p>
    <w:p w:rsidR="0002352A" w:rsidRPr="00503874" w:rsidRDefault="0002352A" w:rsidP="0002352A">
      <w:pPr>
        <w:spacing w:after="0" w:line="240" w:lineRule="auto"/>
        <w:jc w:val="both"/>
        <w:rPr>
          <w:rFonts w:ascii="Times New Roman" w:eastAsia="Arial" w:hAnsi="Times New Roman" w:cs="Times New Roman"/>
          <w:sz w:val="26"/>
          <w:szCs w:val="26"/>
        </w:rPr>
      </w:pPr>
    </w:p>
    <w:p w:rsidR="0002352A" w:rsidRDefault="0002352A" w:rsidP="0002352A">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Maximum Penalty: </w:t>
      </w:r>
      <w:r w:rsidR="00564932" w:rsidRPr="00564932">
        <w:rPr>
          <w:rFonts w:ascii="Times New Roman" w:eastAsia="Arial" w:hAnsi="Times New Roman" w:cs="Times New Roman"/>
          <w:sz w:val="26"/>
          <w:szCs w:val="26"/>
        </w:rPr>
        <w:t>Ten (10) years imprisonment and applicable fine</w:t>
      </w:r>
      <w:r w:rsidRPr="00503874">
        <w:rPr>
          <w:rFonts w:ascii="Times New Roman" w:eastAsia="Arial" w:hAnsi="Times New Roman" w:cs="Times New Roman"/>
          <w:sz w:val="26"/>
          <w:szCs w:val="26"/>
        </w:rPr>
        <w:t>.</w:t>
      </w:r>
    </w:p>
    <w:p w:rsidR="00564932" w:rsidRDefault="00564932" w:rsidP="0002352A">
      <w:pPr>
        <w:spacing w:after="0" w:line="240" w:lineRule="auto"/>
        <w:jc w:val="both"/>
        <w:rPr>
          <w:rFonts w:ascii="Times New Roman" w:eastAsia="Arial" w:hAnsi="Times New Roman" w:cs="Times New Roman"/>
          <w:sz w:val="26"/>
          <w:szCs w:val="26"/>
        </w:rPr>
      </w:pPr>
    </w:p>
    <w:p w:rsidR="00564932" w:rsidRPr="00564932" w:rsidRDefault="00564932" w:rsidP="00564932">
      <w:pPr>
        <w:spacing w:after="0" w:line="240" w:lineRule="auto"/>
        <w:jc w:val="both"/>
        <w:rPr>
          <w:rFonts w:ascii="Times New Roman" w:eastAsia="Arial" w:hAnsi="Times New Roman" w:cs="Times New Roman"/>
          <w:sz w:val="26"/>
          <w:szCs w:val="26"/>
        </w:rPr>
      </w:pPr>
      <w:proofErr w:type="gramStart"/>
      <w:r w:rsidRPr="00564932">
        <w:rPr>
          <w:rFonts w:ascii="Times New Roman" w:eastAsia="Arial" w:hAnsi="Times New Roman" w:cs="Times New Roman"/>
          <w:sz w:val="26"/>
          <w:szCs w:val="26"/>
        </w:rPr>
        <w:t>Agent.</w:t>
      </w:r>
      <w:proofErr w:type="gramEnd"/>
    </w:p>
    <w:p w:rsidR="00564932" w:rsidRDefault="00564932" w:rsidP="0002352A">
      <w:pPr>
        <w:spacing w:after="0" w:line="240" w:lineRule="auto"/>
        <w:jc w:val="both"/>
        <w:rPr>
          <w:rFonts w:ascii="Times New Roman" w:eastAsia="Arial" w:hAnsi="Times New Roman" w:cs="Times New Roman"/>
          <w:sz w:val="26"/>
          <w:szCs w:val="26"/>
        </w:rPr>
      </w:pPr>
    </w:p>
    <w:p w:rsidR="00564932" w:rsidRPr="00564932" w:rsidRDefault="00564932" w:rsidP="00564932">
      <w:pPr>
        <w:jc w:val="both"/>
        <w:rPr>
          <w:rFonts w:ascii="Times New Roman" w:hAnsi="Times New Roman" w:cs="Times New Roman"/>
          <w:sz w:val="26"/>
          <w:szCs w:val="26"/>
        </w:rPr>
      </w:pPr>
      <w:r w:rsidRPr="00564932">
        <w:rPr>
          <w:rFonts w:ascii="Times New Roman" w:hAnsi="Times New Roman" w:cs="Times New Roman"/>
          <w:sz w:val="26"/>
          <w:szCs w:val="26"/>
        </w:rPr>
        <w:t xml:space="preserve">“To qualify as an agent of an entity, an individual need only be authorized to act on behalf of that entity.” </w:t>
      </w:r>
      <w:proofErr w:type="gramStart"/>
      <w:r w:rsidRPr="00564932">
        <w:rPr>
          <w:rFonts w:ascii="Times New Roman" w:hAnsi="Times New Roman" w:cs="Times New Roman"/>
          <w:i/>
          <w:sz w:val="26"/>
          <w:szCs w:val="26"/>
        </w:rPr>
        <w:t>United States v. Keen</w:t>
      </w:r>
      <w:r w:rsidRPr="00564932">
        <w:rPr>
          <w:rFonts w:ascii="Times New Roman" w:hAnsi="Times New Roman" w:cs="Times New Roman"/>
          <w:sz w:val="26"/>
          <w:szCs w:val="26"/>
        </w:rPr>
        <w:t>, 676 F.3d 981, 990 (11th Cir. 2012).</w:t>
      </w:r>
      <w:proofErr w:type="gramEnd"/>
      <w:r w:rsidRPr="00564932">
        <w:rPr>
          <w:rFonts w:ascii="Times New Roman" w:hAnsi="Times New Roman" w:cs="Times New Roman"/>
          <w:sz w:val="26"/>
          <w:szCs w:val="26"/>
        </w:rPr>
        <w:t xml:space="preserve"> There is no “additional qualifying requirement that the person be authorized to act </w:t>
      </w:r>
      <w:r w:rsidRPr="00564932">
        <w:rPr>
          <w:rFonts w:ascii="Times New Roman" w:hAnsi="Times New Roman" w:cs="Times New Roman"/>
          <w:i/>
          <w:sz w:val="26"/>
          <w:szCs w:val="26"/>
        </w:rPr>
        <w:t>specifically with respect to the entity’s funds</w:t>
      </w:r>
      <w:r w:rsidRPr="00564932">
        <w:rPr>
          <w:rFonts w:ascii="Times New Roman" w:hAnsi="Times New Roman" w:cs="Times New Roman"/>
          <w:sz w:val="26"/>
          <w:szCs w:val="26"/>
        </w:rPr>
        <w:t xml:space="preserve">.” </w:t>
      </w:r>
      <w:r w:rsidRPr="00564932">
        <w:rPr>
          <w:rFonts w:ascii="Times New Roman" w:hAnsi="Times New Roman" w:cs="Times New Roman"/>
          <w:i/>
          <w:sz w:val="26"/>
          <w:szCs w:val="26"/>
        </w:rPr>
        <w:t>Id.; see also United States v. Fernandez</w:t>
      </w:r>
      <w:r w:rsidRPr="00564932">
        <w:rPr>
          <w:rFonts w:ascii="Times New Roman" w:hAnsi="Times New Roman" w:cs="Times New Roman"/>
          <w:sz w:val="26"/>
          <w:szCs w:val="26"/>
        </w:rPr>
        <w:t xml:space="preserve">, 722 F.3d 1, 11 (1st Cir. 2013); </w:t>
      </w:r>
      <w:r w:rsidRPr="00564932">
        <w:rPr>
          <w:rFonts w:ascii="Times New Roman" w:hAnsi="Times New Roman" w:cs="Times New Roman"/>
          <w:i/>
          <w:sz w:val="26"/>
          <w:szCs w:val="26"/>
        </w:rPr>
        <w:t xml:space="preserve">United States v. </w:t>
      </w:r>
      <w:proofErr w:type="spellStart"/>
      <w:r w:rsidRPr="00564932">
        <w:rPr>
          <w:rFonts w:ascii="Times New Roman" w:hAnsi="Times New Roman" w:cs="Times New Roman"/>
          <w:i/>
          <w:sz w:val="26"/>
          <w:szCs w:val="26"/>
        </w:rPr>
        <w:t>Vitillo</w:t>
      </w:r>
      <w:proofErr w:type="spellEnd"/>
      <w:r w:rsidRPr="00564932">
        <w:rPr>
          <w:rFonts w:ascii="Times New Roman" w:hAnsi="Times New Roman" w:cs="Times New Roman"/>
          <w:sz w:val="26"/>
          <w:szCs w:val="26"/>
        </w:rPr>
        <w:t xml:space="preserve">, 490 F.3d 314, 323 (3d Cir. 2007); </w:t>
      </w:r>
      <w:r w:rsidRPr="00564932">
        <w:rPr>
          <w:rFonts w:ascii="Times New Roman" w:hAnsi="Times New Roman" w:cs="Times New Roman"/>
          <w:i/>
          <w:sz w:val="26"/>
          <w:szCs w:val="26"/>
        </w:rPr>
        <w:t>United States v. Hudson</w:t>
      </w:r>
      <w:r w:rsidRPr="00564932">
        <w:rPr>
          <w:rFonts w:ascii="Times New Roman" w:hAnsi="Times New Roman" w:cs="Times New Roman"/>
          <w:sz w:val="26"/>
          <w:szCs w:val="26"/>
        </w:rPr>
        <w:t xml:space="preserve">, 491 F.3d 590, 595 (6th Cir. 2007); </w:t>
      </w:r>
      <w:r w:rsidRPr="00564932">
        <w:rPr>
          <w:rFonts w:ascii="Times New Roman" w:hAnsi="Times New Roman" w:cs="Times New Roman"/>
          <w:i/>
          <w:sz w:val="26"/>
          <w:szCs w:val="26"/>
        </w:rPr>
        <w:t xml:space="preserve">United States v. </w:t>
      </w:r>
      <w:proofErr w:type="spellStart"/>
      <w:r w:rsidRPr="00564932">
        <w:rPr>
          <w:rFonts w:ascii="Times New Roman" w:hAnsi="Times New Roman" w:cs="Times New Roman"/>
          <w:i/>
          <w:sz w:val="26"/>
          <w:szCs w:val="26"/>
        </w:rPr>
        <w:t>Spano</w:t>
      </w:r>
      <w:proofErr w:type="spellEnd"/>
      <w:r w:rsidRPr="00564932">
        <w:rPr>
          <w:rFonts w:ascii="Times New Roman" w:hAnsi="Times New Roman" w:cs="Times New Roman"/>
          <w:sz w:val="26"/>
          <w:szCs w:val="26"/>
        </w:rPr>
        <w:t>, 401 F.3d 837, 839-41 (7th Cir. 2005).</w:t>
      </w:r>
    </w:p>
    <w:p w:rsidR="00564932" w:rsidRPr="00564932" w:rsidRDefault="00564932" w:rsidP="00564932">
      <w:pPr>
        <w:spacing w:after="0" w:line="240" w:lineRule="auto"/>
        <w:jc w:val="both"/>
        <w:rPr>
          <w:rFonts w:ascii="Times New Roman" w:eastAsia="Arial" w:hAnsi="Times New Roman" w:cs="Times New Roman"/>
          <w:sz w:val="26"/>
          <w:szCs w:val="26"/>
        </w:rPr>
      </w:pPr>
      <w:proofErr w:type="gramStart"/>
      <w:r w:rsidRPr="00564932">
        <w:rPr>
          <w:rFonts w:ascii="Times New Roman" w:eastAsia="Arial" w:hAnsi="Times New Roman" w:cs="Times New Roman"/>
          <w:sz w:val="26"/>
          <w:szCs w:val="26"/>
        </w:rPr>
        <w:t>Benefits.</w:t>
      </w:r>
      <w:proofErr w:type="gramEnd"/>
    </w:p>
    <w:p w:rsidR="00564932" w:rsidRDefault="00564932" w:rsidP="0002352A">
      <w:pPr>
        <w:spacing w:after="0" w:line="240" w:lineRule="auto"/>
        <w:jc w:val="both"/>
        <w:rPr>
          <w:rFonts w:ascii="Times New Roman" w:eastAsia="Arial" w:hAnsi="Times New Roman" w:cs="Times New Roman"/>
          <w:sz w:val="26"/>
          <w:szCs w:val="26"/>
        </w:rPr>
      </w:pPr>
    </w:p>
    <w:p w:rsidR="00564932" w:rsidRPr="00564932" w:rsidRDefault="00564932" w:rsidP="00564932">
      <w:pPr>
        <w:spacing w:after="0" w:line="240" w:lineRule="auto"/>
        <w:jc w:val="both"/>
        <w:rPr>
          <w:rFonts w:ascii="Times New Roman" w:eastAsia="Arial" w:hAnsi="Times New Roman" w:cs="Times New Roman"/>
          <w:sz w:val="26"/>
          <w:szCs w:val="26"/>
        </w:rPr>
      </w:pPr>
      <w:r w:rsidRPr="00564932">
        <w:rPr>
          <w:rFonts w:ascii="Times New Roman" w:eastAsia="Arial" w:hAnsi="Times New Roman" w:cs="Times New Roman"/>
          <w:sz w:val="26"/>
          <w:szCs w:val="26"/>
        </w:rPr>
        <w:t xml:space="preserve">The term “benefits” is not limited to monies received in the form of payments or disbursements. </w:t>
      </w:r>
      <w:r w:rsidRPr="00564932">
        <w:rPr>
          <w:rFonts w:ascii="Times New Roman" w:eastAsia="Arial" w:hAnsi="Times New Roman" w:cs="Times New Roman"/>
          <w:i/>
          <w:sz w:val="26"/>
          <w:szCs w:val="26"/>
        </w:rPr>
        <w:t>See United States v. Townsend</w:t>
      </w:r>
      <w:r w:rsidRPr="00564932">
        <w:rPr>
          <w:rFonts w:ascii="Times New Roman" w:eastAsia="Arial" w:hAnsi="Times New Roman" w:cs="Times New Roman"/>
          <w:sz w:val="26"/>
          <w:szCs w:val="26"/>
        </w:rPr>
        <w:t xml:space="preserve">, 630 F.3d 1003, 1010–12 (11th Cir. 2011) (holding that accepting bribes in exchange for either tangible or intangible benefits is a </w:t>
      </w:r>
      <w:r w:rsidRPr="00564932">
        <w:rPr>
          <w:rFonts w:ascii="Times New Roman" w:eastAsia="Arial" w:hAnsi="Times New Roman" w:cs="Times New Roman"/>
          <w:sz w:val="26"/>
          <w:szCs w:val="26"/>
        </w:rPr>
        <w:lastRenderedPageBreak/>
        <w:t>violation of §666).</w:t>
      </w:r>
    </w:p>
    <w:p w:rsidR="00564932" w:rsidRDefault="00564932" w:rsidP="0002352A">
      <w:pPr>
        <w:spacing w:after="0" w:line="240" w:lineRule="auto"/>
        <w:jc w:val="both"/>
        <w:rPr>
          <w:rFonts w:ascii="Times New Roman" w:eastAsia="Arial" w:hAnsi="Times New Roman" w:cs="Times New Roman"/>
          <w:sz w:val="26"/>
          <w:szCs w:val="26"/>
        </w:rPr>
      </w:pPr>
    </w:p>
    <w:p w:rsidR="00564932" w:rsidRPr="00564932" w:rsidRDefault="00564932" w:rsidP="00564932">
      <w:pPr>
        <w:spacing w:after="0" w:line="240" w:lineRule="auto"/>
        <w:jc w:val="both"/>
        <w:rPr>
          <w:rFonts w:ascii="Times New Roman" w:eastAsia="Arial" w:hAnsi="Times New Roman" w:cs="Times New Roman"/>
          <w:sz w:val="26"/>
          <w:szCs w:val="26"/>
        </w:rPr>
      </w:pPr>
      <w:proofErr w:type="gramStart"/>
      <w:r w:rsidRPr="00564932">
        <w:rPr>
          <w:rFonts w:ascii="Times New Roman" w:eastAsia="Arial" w:hAnsi="Times New Roman" w:cs="Times New Roman"/>
          <w:sz w:val="26"/>
          <w:szCs w:val="26"/>
        </w:rPr>
        <w:t>Benefits and Federal Assistance.</w:t>
      </w:r>
      <w:proofErr w:type="gramEnd"/>
    </w:p>
    <w:p w:rsidR="00564932" w:rsidRDefault="00564932" w:rsidP="0002352A">
      <w:pPr>
        <w:spacing w:after="0" w:line="240" w:lineRule="auto"/>
        <w:jc w:val="both"/>
        <w:rPr>
          <w:rFonts w:ascii="Times New Roman" w:eastAsia="Arial" w:hAnsi="Times New Roman" w:cs="Times New Roman"/>
          <w:sz w:val="26"/>
          <w:szCs w:val="26"/>
        </w:rPr>
      </w:pPr>
    </w:p>
    <w:p w:rsidR="00564932" w:rsidRPr="00564932" w:rsidRDefault="00564932" w:rsidP="00564932">
      <w:pPr>
        <w:spacing w:after="0" w:line="240" w:lineRule="auto"/>
        <w:jc w:val="both"/>
        <w:rPr>
          <w:rFonts w:ascii="Times New Roman" w:eastAsia="Arial" w:hAnsi="Times New Roman" w:cs="Times New Roman"/>
          <w:sz w:val="26"/>
          <w:szCs w:val="26"/>
        </w:rPr>
      </w:pPr>
      <w:r w:rsidRPr="00564932">
        <w:rPr>
          <w:rFonts w:ascii="Times New Roman" w:eastAsia="Arial" w:hAnsi="Times New Roman" w:cs="Times New Roman"/>
          <w:sz w:val="26"/>
          <w:szCs w:val="26"/>
        </w:rPr>
        <w:t xml:space="preserve">“The scope of §666, however, is not limitless; the statute clearly indicates that only those contractual relationships constituting some form of ‘Federal assistance’ fall within the scope of the statute. Thus, organizations engaged in purely commercial transactions with the federal government are not subject to §666.” </w:t>
      </w:r>
      <w:proofErr w:type="gramStart"/>
      <w:r w:rsidRPr="00564932">
        <w:rPr>
          <w:rFonts w:ascii="Times New Roman" w:eastAsia="Arial" w:hAnsi="Times New Roman" w:cs="Times New Roman"/>
          <w:i/>
          <w:sz w:val="26"/>
          <w:szCs w:val="26"/>
        </w:rPr>
        <w:t>United States v. Copeland</w:t>
      </w:r>
      <w:r w:rsidRPr="00564932">
        <w:rPr>
          <w:rFonts w:ascii="Times New Roman" w:eastAsia="Arial" w:hAnsi="Times New Roman" w:cs="Times New Roman"/>
          <w:sz w:val="26"/>
          <w:szCs w:val="26"/>
        </w:rPr>
        <w:t>, 143 F.3d 1439, 1441 (11th Cir. 1998) (citations omitted).</w:t>
      </w:r>
      <w:proofErr w:type="gramEnd"/>
      <w:r w:rsidRPr="00564932">
        <w:rPr>
          <w:rFonts w:ascii="Times New Roman" w:eastAsia="Arial" w:hAnsi="Times New Roman" w:cs="Times New Roman"/>
          <w:sz w:val="26"/>
          <w:szCs w:val="26"/>
        </w:rPr>
        <w:t xml:space="preserve">  As explained by the Supreme Court:</w:t>
      </w:r>
    </w:p>
    <w:p w:rsidR="00564932" w:rsidRDefault="00564932" w:rsidP="0002352A">
      <w:pPr>
        <w:spacing w:after="0" w:line="240" w:lineRule="auto"/>
        <w:jc w:val="both"/>
        <w:rPr>
          <w:rFonts w:ascii="Times New Roman" w:eastAsia="Arial" w:hAnsi="Times New Roman" w:cs="Times New Roman"/>
          <w:sz w:val="26"/>
          <w:szCs w:val="26"/>
        </w:rPr>
      </w:pPr>
    </w:p>
    <w:p w:rsidR="00564932" w:rsidRPr="00564932" w:rsidRDefault="00564932" w:rsidP="00564932">
      <w:pPr>
        <w:ind w:left="720" w:right="720"/>
        <w:jc w:val="both"/>
        <w:rPr>
          <w:rFonts w:ascii="Times New Roman" w:eastAsia="Arial" w:hAnsi="Times New Roman" w:cs="Times New Roman"/>
          <w:sz w:val="26"/>
          <w:szCs w:val="26"/>
        </w:rPr>
      </w:pPr>
      <w:r w:rsidRPr="00564932">
        <w:rPr>
          <w:rFonts w:ascii="Times New Roman" w:eastAsia="Arial" w:hAnsi="Times New Roman" w:cs="Times New Roman"/>
          <w:sz w:val="26"/>
          <w:szCs w:val="26"/>
        </w:rPr>
        <w:t>Any receipt of federal funds can, at some level of generality, be characterized as a benefit. The statute does not employ this broad, almost limitless use of the term.  Doing so would turn almost every act of fraud or bribery into a federal offense, upsetting the proper federal balance.  To determine whether an organization participating in a federal assistance program receives “benefits,” an examination must be undertaken of the program’s structure, operation, and purpose.  The inquiry should examine the conditions under which the organization receives the federal payments.  The answer could depend, as it does here, on whether the recipient’s own operations are one of the reasons for maintaining the program.</w:t>
      </w:r>
    </w:p>
    <w:p w:rsidR="00564932" w:rsidRDefault="00564932" w:rsidP="0002352A">
      <w:pPr>
        <w:spacing w:after="0" w:line="240" w:lineRule="auto"/>
        <w:jc w:val="both"/>
        <w:rPr>
          <w:rFonts w:ascii="Times New Roman" w:eastAsia="Arial" w:hAnsi="Times New Roman" w:cs="Times New Roman"/>
          <w:sz w:val="26"/>
          <w:szCs w:val="26"/>
        </w:rPr>
      </w:pPr>
    </w:p>
    <w:p w:rsidR="00564932" w:rsidRPr="00564932" w:rsidRDefault="00564932" w:rsidP="00564932">
      <w:pPr>
        <w:spacing w:after="0" w:line="240" w:lineRule="auto"/>
        <w:jc w:val="both"/>
        <w:rPr>
          <w:rFonts w:ascii="Times New Roman" w:eastAsia="Arial" w:hAnsi="Times New Roman" w:cs="Times New Roman"/>
          <w:sz w:val="26"/>
          <w:szCs w:val="26"/>
        </w:rPr>
      </w:pPr>
      <w:r w:rsidRPr="00564932">
        <w:rPr>
          <w:rFonts w:ascii="Times New Roman" w:eastAsia="Arial" w:hAnsi="Times New Roman" w:cs="Times New Roman"/>
          <w:i/>
          <w:sz w:val="26"/>
          <w:szCs w:val="26"/>
        </w:rPr>
        <w:t>Fischer v. United States</w:t>
      </w:r>
      <w:r w:rsidRPr="00564932">
        <w:rPr>
          <w:rFonts w:ascii="Times New Roman" w:eastAsia="Arial" w:hAnsi="Times New Roman" w:cs="Times New Roman"/>
          <w:sz w:val="26"/>
          <w:szCs w:val="26"/>
        </w:rPr>
        <w:t xml:space="preserve">, 529 U.S. 667, 681 (2000) (holding that a health care provider participating in the Medicare program received “benefits” within the meaning of the statute); </w:t>
      </w:r>
      <w:r w:rsidRPr="00564932">
        <w:rPr>
          <w:rFonts w:ascii="Times New Roman" w:eastAsia="Arial" w:hAnsi="Times New Roman" w:cs="Times New Roman"/>
          <w:i/>
          <w:sz w:val="26"/>
          <w:szCs w:val="26"/>
        </w:rPr>
        <w:t>see</w:t>
      </w:r>
      <w:r w:rsidRPr="00564932">
        <w:rPr>
          <w:rFonts w:ascii="Times New Roman" w:eastAsia="Arial" w:hAnsi="Times New Roman" w:cs="Times New Roman"/>
          <w:sz w:val="26"/>
          <w:szCs w:val="26"/>
        </w:rPr>
        <w:t xml:space="preserve"> </w:t>
      </w:r>
      <w:r w:rsidRPr="00564932">
        <w:rPr>
          <w:rFonts w:ascii="Times New Roman" w:eastAsia="Arial" w:hAnsi="Times New Roman" w:cs="Times New Roman"/>
          <w:i/>
          <w:sz w:val="26"/>
          <w:szCs w:val="26"/>
        </w:rPr>
        <w:t>Copeland</w:t>
      </w:r>
      <w:r w:rsidRPr="00564932">
        <w:rPr>
          <w:rFonts w:ascii="Times New Roman" w:eastAsia="Arial" w:hAnsi="Times New Roman" w:cs="Times New Roman"/>
          <w:sz w:val="26"/>
          <w:szCs w:val="26"/>
        </w:rPr>
        <w:t>, 143 F.3d at 1441 (finding that “[n]</w:t>
      </w:r>
      <w:proofErr w:type="spellStart"/>
      <w:r w:rsidRPr="00564932">
        <w:rPr>
          <w:rFonts w:ascii="Times New Roman" w:eastAsia="Arial" w:hAnsi="Times New Roman" w:cs="Times New Roman"/>
          <w:sz w:val="26"/>
          <w:szCs w:val="26"/>
        </w:rPr>
        <w:t>othing</w:t>
      </w:r>
      <w:proofErr w:type="spellEnd"/>
      <w:r w:rsidRPr="00564932">
        <w:rPr>
          <w:rFonts w:ascii="Times New Roman" w:eastAsia="Arial" w:hAnsi="Times New Roman" w:cs="Times New Roman"/>
          <w:sz w:val="26"/>
          <w:szCs w:val="26"/>
        </w:rPr>
        <w:t xml:space="preserve"> in the record indicates that Lockheed receives any form of federal assistance or is in anyway engaged in something other than purely commercial transactions with the government.”).</w:t>
      </w:r>
    </w:p>
    <w:p w:rsidR="00564932" w:rsidRDefault="00564932" w:rsidP="0002352A">
      <w:pPr>
        <w:spacing w:after="0" w:line="240" w:lineRule="auto"/>
        <w:jc w:val="both"/>
        <w:rPr>
          <w:rFonts w:ascii="Times New Roman" w:eastAsia="Arial" w:hAnsi="Times New Roman" w:cs="Times New Roman"/>
          <w:sz w:val="26"/>
          <w:szCs w:val="26"/>
        </w:rPr>
      </w:pPr>
    </w:p>
    <w:p w:rsidR="00564932" w:rsidRPr="00564932" w:rsidRDefault="00564932" w:rsidP="00564932">
      <w:pPr>
        <w:spacing w:after="0" w:line="240" w:lineRule="auto"/>
        <w:jc w:val="both"/>
        <w:rPr>
          <w:rFonts w:ascii="Times New Roman" w:eastAsia="Arial" w:hAnsi="Times New Roman" w:cs="Times New Roman"/>
          <w:sz w:val="26"/>
          <w:szCs w:val="26"/>
        </w:rPr>
      </w:pPr>
      <w:proofErr w:type="gramStart"/>
      <w:r w:rsidRPr="00564932">
        <w:rPr>
          <w:rFonts w:ascii="Times New Roman" w:eastAsia="Arial" w:hAnsi="Times New Roman" w:cs="Times New Roman"/>
          <w:sz w:val="26"/>
          <w:szCs w:val="26"/>
        </w:rPr>
        <w:t>Conflict of Interest as Relevant to Proof of a Violation.</w:t>
      </w:r>
      <w:proofErr w:type="gramEnd"/>
    </w:p>
    <w:p w:rsidR="00564932" w:rsidRPr="00503874" w:rsidRDefault="00564932" w:rsidP="0002352A">
      <w:pPr>
        <w:spacing w:after="0" w:line="240" w:lineRule="auto"/>
        <w:jc w:val="both"/>
        <w:rPr>
          <w:rFonts w:ascii="Times New Roman" w:eastAsia="Arial" w:hAnsi="Times New Roman" w:cs="Times New Roman"/>
          <w:sz w:val="26"/>
          <w:szCs w:val="26"/>
        </w:rPr>
      </w:pPr>
    </w:p>
    <w:p w:rsidR="00564932" w:rsidRPr="00564932" w:rsidRDefault="00564932" w:rsidP="00564932">
      <w:pPr>
        <w:spacing w:after="0" w:line="240" w:lineRule="auto"/>
        <w:jc w:val="both"/>
        <w:rPr>
          <w:rFonts w:ascii="Times New Roman" w:eastAsia="Arial" w:hAnsi="Times New Roman" w:cs="Times New Roman"/>
          <w:sz w:val="26"/>
          <w:szCs w:val="26"/>
        </w:rPr>
      </w:pPr>
      <w:r w:rsidRPr="00564932">
        <w:rPr>
          <w:rFonts w:ascii="Times New Roman" w:eastAsia="Arial" w:hAnsi="Times New Roman" w:cs="Times New Roman"/>
          <w:sz w:val="26"/>
          <w:szCs w:val="26"/>
        </w:rPr>
        <w:t xml:space="preserve">The Eleventh Circuit addressed the meaning of “intentionally misapplied” in </w:t>
      </w:r>
      <w:r w:rsidRPr="00564932">
        <w:rPr>
          <w:rFonts w:ascii="Times New Roman" w:eastAsia="Arial" w:hAnsi="Times New Roman" w:cs="Times New Roman"/>
          <w:i/>
          <w:sz w:val="26"/>
          <w:szCs w:val="26"/>
        </w:rPr>
        <w:t>United States v. Jimenez</w:t>
      </w:r>
      <w:r w:rsidRPr="00564932">
        <w:rPr>
          <w:rFonts w:ascii="Times New Roman" w:eastAsia="Arial" w:hAnsi="Times New Roman" w:cs="Times New Roman"/>
          <w:sz w:val="26"/>
          <w:szCs w:val="26"/>
        </w:rPr>
        <w:t>, 705 F.3d 1305 (11th Cir. 2013):</w:t>
      </w:r>
    </w:p>
    <w:p w:rsidR="0002352A" w:rsidRDefault="0002352A" w:rsidP="0002352A">
      <w:pPr>
        <w:spacing w:after="0" w:line="240" w:lineRule="auto"/>
        <w:jc w:val="both"/>
        <w:rPr>
          <w:rFonts w:ascii="Times New Roman" w:eastAsia="Arial" w:hAnsi="Times New Roman" w:cs="Times New Roman"/>
          <w:sz w:val="26"/>
          <w:szCs w:val="26"/>
        </w:rPr>
      </w:pPr>
    </w:p>
    <w:p w:rsidR="00564932" w:rsidRPr="00564932" w:rsidRDefault="00564932" w:rsidP="00564932">
      <w:pPr>
        <w:ind w:left="720" w:right="720"/>
        <w:jc w:val="both"/>
        <w:rPr>
          <w:rFonts w:ascii="Times New Roman" w:eastAsia="Arial" w:hAnsi="Times New Roman" w:cs="Times New Roman"/>
          <w:sz w:val="26"/>
          <w:szCs w:val="26"/>
        </w:rPr>
      </w:pPr>
      <w:r w:rsidRPr="00564932">
        <w:rPr>
          <w:rFonts w:ascii="Times New Roman" w:eastAsia="Arial" w:hAnsi="Times New Roman" w:cs="Times New Roman"/>
          <w:sz w:val="26"/>
          <w:szCs w:val="26"/>
        </w:rPr>
        <w:t>To be clear, we do not mean to say that violating a conflict of interest policy can never form the basis of a §666 conviction.  We hold instead that evidence of an undisclosed conflict of interest is insufficient, standing alone, to sustain a conviction for “intentionally misapplying” funds within the meaning of §666.</w:t>
      </w:r>
    </w:p>
    <w:p w:rsidR="00564932" w:rsidRPr="00564932" w:rsidRDefault="00564932" w:rsidP="00564932">
      <w:pPr>
        <w:spacing w:after="0" w:line="240" w:lineRule="auto"/>
        <w:jc w:val="both"/>
        <w:rPr>
          <w:rFonts w:ascii="Times New Roman" w:eastAsia="Arial" w:hAnsi="Times New Roman" w:cs="Times New Roman"/>
          <w:sz w:val="26"/>
          <w:szCs w:val="26"/>
        </w:rPr>
      </w:pPr>
      <w:r w:rsidRPr="00564932">
        <w:rPr>
          <w:rFonts w:ascii="Times New Roman" w:eastAsia="Arial" w:hAnsi="Times New Roman" w:cs="Times New Roman"/>
          <w:sz w:val="26"/>
          <w:szCs w:val="26"/>
        </w:rPr>
        <w:t>Id. at 1310-11.</w:t>
      </w:r>
    </w:p>
    <w:p w:rsidR="00564932" w:rsidRDefault="00564932" w:rsidP="0002352A">
      <w:pPr>
        <w:spacing w:after="0" w:line="240" w:lineRule="auto"/>
        <w:jc w:val="both"/>
        <w:rPr>
          <w:rFonts w:ascii="Times New Roman" w:eastAsia="Arial" w:hAnsi="Times New Roman" w:cs="Times New Roman"/>
          <w:sz w:val="26"/>
          <w:szCs w:val="26"/>
        </w:rPr>
      </w:pPr>
    </w:p>
    <w:p w:rsidR="00564932" w:rsidRPr="00564932" w:rsidRDefault="00564932" w:rsidP="00564932">
      <w:pPr>
        <w:spacing w:after="0" w:line="240" w:lineRule="auto"/>
        <w:jc w:val="both"/>
        <w:rPr>
          <w:rFonts w:ascii="Times New Roman" w:eastAsia="Arial" w:hAnsi="Times New Roman" w:cs="Times New Roman"/>
          <w:sz w:val="26"/>
          <w:szCs w:val="26"/>
        </w:rPr>
      </w:pPr>
      <w:proofErr w:type="gramStart"/>
      <w:r w:rsidRPr="00564932">
        <w:rPr>
          <w:rFonts w:ascii="Times New Roman" w:eastAsia="Arial" w:hAnsi="Times New Roman" w:cs="Times New Roman"/>
          <w:sz w:val="26"/>
          <w:szCs w:val="26"/>
        </w:rPr>
        <w:lastRenderedPageBreak/>
        <w:t>Intangible Property.</w:t>
      </w:r>
      <w:proofErr w:type="gramEnd"/>
    </w:p>
    <w:p w:rsidR="00564932" w:rsidRPr="00503874" w:rsidRDefault="00564932" w:rsidP="0002352A">
      <w:pPr>
        <w:spacing w:after="0" w:line="240" w:lineRule="auto"/>
        <w:jc w:val="both"/>
        <w:rPr>
          <w:rFonts w:ascii="Times New Roman" w:eastAsia="Arial" w:hAnsi="Times New Roman" w:cs="Times New Roman"/>
          <w:sz w:val="26"/>
          <w:szCs w:val="26"/>
        </w:rPr>
      </w:pPr>
    </w:p>
    <w:p w:rsidR="00564932" w:rsidRPr="00564932" w:rsidRDefault="00564932" w:rsidP="00564932">
      <w:pPr>
        <w:spacing w:after="0" w:line="240" w:lineRule="auto"/>
        <w:jc w:val="both"/>
        <w:rPr>
          <w:rFonts w:ascii="Times New Roman" w:eastAsia="Arial" w:hAnsi="Times New Roman" w:cs="Times New Roman"/>
          <w:sz w:val="26"/>
          <w:szCs w:val="26"/>
        </w:rPr>
      </w:pPr>
      <w:r w:rsidRPr="00564932">
        <w:rPr>
          <w:rFonts w:ascii="Times New Roman" w:eastAsia="Arial" w:hAnsi="Times New Roman" w:cs="Times New Roman"/>
          <w:sz w:val="26"/>
          <w:szCs w:val="26"/>
        </w:rPr>
        <w:t>The Eleventh Circuit has expressly held that §666(a</w:t>
      </w:r>
      <w:proofErr w:type="gramStart"/>
      <w:r w:rsidRPr="00564932">
        <w:rPr>
          <w:rFonts w:ascii="Times New Roman" w:eastAsia="Arial" w:hAnsi="Times New Roman" w:cs="Times New Roman"/>
          <w:sz w:val="26"/>
          <w:szCs w:val="26"/>
        </w:rPr>
        <w:t>)(</w:t>
      </w:r>
      <w:proofErr w:type="gramEnd"/>
      <w:r w:rsidRPr="00564932">
        <w:rPr>
          <w:rFonts w:ascii="Times New Roman" w:eastAsia="Arial" w:hAnsi="Times New Roman" w:cs="Times New Roman"/>
          <w:sz w:val="26"/>
          <w:szCs w:val="26"/>
        </w:rPr>
        <w:t xml:space="preserve">1)(B) covers bribery in connection with transactions involving either tangible or intangible property.  </w:t>
      </w:r>
      <w:r w:rsidRPr="00564932">
        <w:rPr>
          <w:rFonts w:ascii="Times New Roman" w:eastAsia="Arial" w:hAnsi="Times New Roman" w:cs="Times New Roman"/>
          <w:i/>
          <w:sz w:val="26"/>
          <w:szCs w:val="26"/>
        </w:rPr>
        <w:t>See U.S. v. Townsend</w:t>
      </w:r>
      <w:r w:rsidRPr="00564932">
        <w:rPr>
          <w:rFonts w:ascii="Times New Roman" w:eastAsia="Arial" w:hAnsi="Times New Roman" w:cs="Times New Roman"/>
          <w:sz w:val="26"/>
          <w:szCs w:val="26"/>
        </w:rPr>
        <w:t xml:space="preserve">, 630 F.3d 1003, 1010–12 (11th Cir. 2011) (holding that accepting bribes in exchange for freedom from jail and greater freedom while on pretrial release falls within the plain meaning of the statute).  Although the Sixth Circuit has held that 18 U.S.C. §666(a)(1)(A) also covers both tangible and intangible stolen property, </w:t>
      </w:r>
      <w:r w:rsidRPr="00564932">
        <w:rPr>
          <w:rFonts w:ascii="Times New Roman" w:eastAsia="Arial" w:hAnsi="Times New Roman" w:cs="Times New Roman"/>
          <w:i/>
          <w:sz w:val="26"/>
          <w:szCs w:val="26"/>
        </w:rPr>
        <w:t>United States v. Sanderson</w:t>
      </w:r>
      <w:r w:rsidRPr="00564932">
        <w:rPr>
          <w:rFonts w:ascii="Times New Roman" w:eastAsia="Arial" w:hAnsi="Times New Roman" w:cs="Times New Roman"/>
          <w:sz w:val="26"/>
          <w:szCs w:val="26"/>
        </w:rPr>
        <w:t xml:space="preserve">, 966 F.2d 184, 188–89 (6th Cir. 1992), the Eleventh Circuit has not yet determined whether theft of intangible property falls within the scope of §666(a)(1)(A).  To decide whether a transaction involving intangibles has a value of $5,000 or more, courts should look to traditional valuation methods.  </w:t>
      </w:r>
      <w:r w:rsidRPr="00564932">
        <w:rPr>
          <w:rFonts w:ascii="Times New Roman" w:eastAsia="Arial" w:hAnsi="Times New Roman" w:cs="Times New Roman"/>
          <w:i/>
          <w:sz w:val="26"/>
          <w:szCs w:val="26"/>
        </w:rPr>
        <w:t>See Townsend</w:t>
      </w:r>
      <w:r w:rsidRPr="00564932">
        <w:rPr>
          <w:rFonts w:ascii="Times New Roman" w:eastAsia="Arial" w:hAnsi="Times New Roman" w:cs="Times New Roman"/>
          <w:sz w:val="26"/>
          <w:szCs w:val="26"/>
        </w:rPr>
        <w:t>, 630 F.3d at 1011–12 (finding that the market approach is a valid method for determining the value of an intangible obtained through bribery, and setting the monetary value at “what a willing bribe</w:t>
      </w:r>
      <w:r w:rsidRPr="00564932">
        <w:rPr>
          <w:rFonts w:ascii="Times New Roman" w:eastAsia="Arial" w:hAnsi="Times New Roman" w:cs="Times New Roman"/>
          <w:sz w:val="26"/>
          <w:szCs w:val="26"/>
        </w:rPr>
        <w:noBreakHyphen/>
        <w:t>giver gives and what a willing bribe-taker takes in exchange for the intangible”).</w:t>
      </w:r>
    </w:p>
    <w:p w:rsidR="00725167" w:rsidRDefault="00725167" w:rsidP="0002352A">
      <w:pPr>
        <w:spacing w:after="0" w:line="240" w:lineRule="auto"/>
        <w:jc w:val="both"/>
        <w:rPr>
          <w:rFonts w:ascii="Times New Roman" w:eastAsia="Arial" w:hAnsi="Times New Roman" w:cs="Times New Roman"/>
          <w:sz w:val="26"/>
          <w:szCs w:val="26"/>
        </w:rPr>
      </w:pPr>
    </w:p>
    <w:p w:rsidR="00564932" w:rsidRPr="00564932" w:rsidRDefault="00564932" w:rsidP="00564932">
      <w:pPr>
        <w:spacing w:after="0" w:line="240" w:lineRule="auto"/>
        <w:jc w:val="both"/>
        <w:rPr>
          <w:rFonts w:ascii="Times New Roman" w:eastAsia="Arial" w:hAnsi="Times New Roman" w:cs="Times New Roman"/>
          <w:sz w:val="26"/>
          <w:szCs w:val="26"/>
        </w:rPr>
      </w:pPr>
      <w:proofErr w:type="gramStart"/>
      <w:r w:rsidRPr="00564932">
        <w:rPr>
          <w:rFonts w:ascii="Times New Roman" w:eastAsia="Arial" w:hAnsi="Times New Roman" w:cs="Times New Roman"/>
          <w:sz w:val="26"/>
          <w:szCs w:val="26"/>
        </w:rPr>
        <w:t>One-Year Period.</w:t>
      </w:r>
      <w:proofErr w:type="gramEnd"/>
    </w:p>
    <w:p w:rsidR="00564932" w:rsidRDefault="00564932" w:rsidP="0002352A">
      <w:pPr>
        <w:spacing w:after="0" w:line="240" w:lineRule="auto"/>
        <w:jc w:val="both"/>
        <w:rPr>
          <w:rFonts w:ascii="Times New Roman" w:eastAsia="Arial" w:hAnsi="Times New Roman" w:cs="Times New Roman"/>
          <w:sz w:val="26"/>
          <w:szCs w:val="26"/>
        </w:rPr>
      </w:pPr>
    </w:p>
    <w:p w:rsidR="00564932" w:rsidRPr="00564932" w:rsidRDefault="00564932" w:rsidP="00564932">
      <w:pPr>
        <w:spacing w:after="0" w:line="240" w:lineRule="auto"/>
        <w:jc w:val="both"/>
        <w:rPr>
          <w:rFonts w:ascii="Times New Roman" w:eastAsia="Arial" w:hAnsi="Times New Roman" w:cs="Times New Roman"/>
          <w:sz w:val="26"/>
          <w:szCs w:val="26"/>
        </w:rPr>
      </w:pPr>
      <w:r w:rsidRPr="00564932">
        <w:rPr>
          <w:rFonts w:ascii="Times New Roman" w:eastAsia="Arial" w:hAnsi="Times New Roman" w:cs="Times New Roman"/>
          <w:sz w:val="26"/>
          <w:szCs w:val="26"/>
        </w:rPr>
        <w:t>The definition in the instruction is derived from 18 U.S.C. § 666(d</w:t>
      </w:r>
      <w:proofErr w:type="gramStart"/>
      <w:r w:rsidRPr="00564932">
        <w:rPr>
          <w:rFonts w:ascii="Times New Roman" w:eastAsia="Arial" w:hAnsi="Times New Roman" w:cs="Times New Roman"/>
          <w:sz w:val="26"/>
          <w:szCs w:val="26"/>
        </w:rPr>
        <w:t>)(</w:t>
      </w:r>
      <w:proofErr w:type="gramEnd"/>
      <w:r w:rsidRPr="00564932">
        <w:rPr>
          <w:rFonts w:ascii="Times New Roman" w:eastAsia="Arial" w:hAnsi="Times New Roman" w:cs="Times New Roman"/>
          <w:sz w:val="26"/>
          <w:szCs w:val="26"/>
        </w:rPr>
        <w:t>5).  A violation of §666 can occur if the agency receives the requisite federal benefits in any one</w:t>
      </w:r>
      <w:r w:rsidRPr="00564932">
        <w:rPr>
          <w:rFonts w:ascii="Times New Roman" w:eastAsia="Arial" w:hAnsi="Times New Roman" w:cs="Times New Roman"/>
          <w:sz w:val="26"/>
          <w:szCs w:val="26"/>
        </w:rPr>
        <w:noBreakHyphen/>
        <w:t>year period within a year before or after the alleged offense takes place.  18 U.S.C. §666(d</w:t>
      </w:r>
      <w:proofErr w:type="gramStart"/>
      <w:r w:rsidRPr="00564932">
        <w:rPr>
          <w:rFonts w:ascii="Times New Roman" w:eastAsia="Arial" w:hAnsi="Times New Roman" w:cs="Times New Roman"/>
          <w:sz w:val="26"/>
          <w:szCs w:val="26"/>
        </w:rPr>
        <w:t>)(</w:t>
      </w:r>
      <w:proofErr w:type="gramEnd"/>
      <w:r w:rsidRPr="00564932">
        <w:rPr>
          <w:rFonts w:ascii="Times New Roman" w:eastAsia="Arial" w:hAnsi="Times New Roman" w:cs="Times New Roman"/>
          <w:sz w:val="26"/>
          <w:szCs w:val="26"/>
        </w:rPr>
        <w:t xml:space="preserve">5). However, if the government proposes an instruction directing the jury to consider a more limited time period to determine whether the agency received the requisite federal benefits, it is bound to make a showing to satisfy the elements of the offense as instructed.  </w:t>
      </w:r>
      <w:r w:rsidRPr="00564932">
        <w:rPr>
          <w:rFonts w:ascii="Times New Roman" w:eastAsia="Arial" w:hAnsi="Times New Roman" w:cs="Times New Roman"/>
          <w:i/>
          <w:sz w:val="26"/>
          <w:szCs w:val="26"/>
        </w:rPr>
        <w:t>See</w:t>
      </w:r>
      <w:r w:rsidRPr="00564932">
        <w:rPr>
          <w:rFonts w:ascii="Times New Roman" w:eastAsia="Arial" w:hAnsi="Times New Roman" w:cs="Times New Roman"/>
          <w:sz w:val="26"/>
          <w:szCs w:val="26"/>
        </w:rPr>
        <w:t xml:space="preserve"> </w:t>
      </w:r>
      <w:r w:rsidRPr="00564932">
        <w:rPr>
          <w:rFonts w:ascii="Times New Roman" w:eastAsia="Arial" w:hAnsi="Times New Roman" w:cs="Times New Roman"/>
          <w:i/>
          <w:sz w:val="26"/>
          <w:szCs w:val="26"/>
        </w:rPr>
        <w:t>United States v. Murillo</w:t>
      </w:r>
      <w:r w:rsidRPr="00564932">
        <w:rPr>
          <w:rFonts w:ascii="Times New Roman" w:eastAsia="Arial" w:hAnsi="Times New Roman" w:cs="Times New Roman"/>
          <w:sz w:val="26"/>
          <w:szCs w:val="26"/>
        </w:rPr>
        <w:t xml:space="preserve">, 443 F. </w:t>
      </w:r>
      <w:proofErr w:type="spellStart"/>
      <w:r w:rsidRPr="00564932">
        <w:rPr>
          <w:rFonts w:ascii="Times New Roman" w:eastAsia="Arial" w:hAnsi="Times New Roman" w:cs="Times New Roman"/>
          <w:sz w:val="26"/>
          <w:szCs w:val="26"/>
        </w:rPr>
        <w:t>App’x</w:t>
      </w:r>
      <w:proofErr w:type="spellEnd"/>
      <w:r w:rsidRPr="00564932">
        <w:rPr>
          <w:rFonts w:ascii="Times New Roman" w:eastAsia="Arial" w:hAnsi="Times New Roman" w:cs="Times New Roman"/>
          <w:sz w:val="26"/>
          <w:szCs w:val="26"/>
        </w:rPr>
        <w:t xml:space="preserve"> 472, 474 (11th Cir. 2011) (per </w:t>
      </w:r>
      <w:proofErr w:type="spellStart"/>
      <w:r w:rsidRPr="00564932">
        <w:rPr>
          <w:rFonts w:ascii="Times New Roman" w:eastAsia="Arial" w:hAnsi="Times New Roman" w:cs="Times New Roman"/>
          <w:sz w:val="26"/>
          <w:szCs w:val="26"/>
        </w:rPr>
        <w:t>curiam</w:t>
      </w:r>
      <w:proofErr w:type="spellEnd"/>
      <w:r w:rsidRPr="00564932">
        <w:rPr>
          <w:rFonts w:ascii="Times New Roman" w:eastAsia="Arial" w:hAnsi="Times New Roman" w:cs="Times New Roman"/>
          <w:sz w:val="26"/>
          <w:szCs w:val="26"/>
        </w:rPr>
        <w:t>).</w:t>
      </w:r>
    </w:p>
    <w:p w:rsidR="00564932" w:rsidRDefault="00564932" w:rsidP="0002352A">
      <w:pPr>
        <w:spacing w:after="0" w:line="240" w:lineRule="auto"/>
        <w:jc w:val="both"/>
        <w:rPr>
          <w:rFonts w:ascii="Times New Roman" w:eastAsia="Arial" w:hAnsi="Times New Roman" w:cs="Times New Roman"/>
          <w:sz w:val="26"/>
          <w:szCs w:val="26"/>
        </w:rPr>
      </w:pPr>
    </w:p>
    <w:p w:rsidR="00564932" w:rsidRPr="00564932" w:rsidRDefault="00564932" w:rsidP="00564932">
      <w:pPr>
        <w:spacing w:after="0" w:line="240" w:lineRule="auto"/>
        <w:jc w:val="both"/>
        <w:rPr>
          <w:rFonts w:ascii="Times New Roman" w:eastAsia="Arial" w:hAnsi="Times New Roman" w:cs="Times New Roman"/>
          <w:sz w:val="26"/>
          <w:szCs w:val="26"/>
        </w:rPr>
      </w:pPr>
      <w:proofErr w:type="gramStart"/>
      <w:r w:rsidRPr="00564932">
        <w:rPr>
          <w:rFonts w:ascii="Times New Roman" w:eastAsia="Arial" w:hAnsi="Times New Roman" w:cs="Times New Roman"/>
          <w:sz w:val="26"/>
          <w:szCs w:val="26"/>
        </w:rPr>
        <w:t>Bona Fide Wages.</w:t>
      </w:r>
      <w:proofErr w:type="gramEnd"/>
    </w:p>
    <w:p w:rsidR="00564932" w:rsidRDefault="00564932" w:rsidP="0002352A">
      <w:pPr>
        <w:spacing w:after="0" w:line="240" w:lineRule="auto"/>
        <w:jc w:val="both"/>
        <w:rPr>
          <w:rFonts w:ascii="Times New Roman" w:eastAsia="Arial" w:hAnsi="Times New Roman" w:cs="Times New Roman"/>
          <w:sz w:val="26"/>
          <w:szCs w:val="26"/>
        </w:rPr>
      </w:pPr>
    </w:p>
    <w:p w:rsidR="00564932" w:rsidRPr="00564932" w:rsidRDefault="00564932" w:rsidP="00564932">
      <w:pPr>
        <w:spacing w:after="0" w:line="240" w:lineRule="auto"/>
        <w:jc w:val="both"/>
        <w:rPr>
          <w:rFonts w:ascii="Times New Roman" w:eastAsia="Arial" w:hAnsi="Times New Roman" w:cs="Times New Roman"/>
          <w:sz w:val="26"/>
          <w:szCs w:val="26"/>
        </w:rPr>
      </w:pPr>
      <w:r w:rsidRPr="00564932">
        <w:rPr>
          <w:rFonts w:ascii="Times New Roman" w:eastAsia="Arial" w:hAnsi="Times New Roman" w:cs="Times New Roman"/>
          <w:sz w:val="26"/>
          <w:szCs w:val="26"/>
        </w:rPr>
        <w:t xml:space="preserve">The last paragraph in the instruction concerning wages is taken from 18 U.S.C. §666(c).  Whether wages are bona fide and earned in the usual course of business is a question of fact for the jury to decide.  </w:t>
      </w:r>
      <w:r w:rsidRPr="00564932">
        <w:rPr>
          <w:rFonts w:ascii="Times New Roman" w:eastAsia="Arial" w:hAnsi="Times New Roman" w:cs="Times New Roman"/>
          <w:i/>
          <w:sz w:val="26"/>
          <w:szCs w:val="26"/>
        </w:rPr>
        <w:t>See United States v. Schmitz</w:t>
      </w:r>
      <w:r w:rsidRPr="00564932">
        <w:rPr>
          <w:rFonts w:ascii="Times New Roman" w:eastAsia="Arial" w:hAnsi="Times New Roman" w:cs="Times New Roman"/>
          <w:sz w:val="26"/>
          <w:szCs w:val="26"/>
        </w:rPr>
        <w:t xml:space="preserve">, 634 F.3d 1247, 1264 n.13 (11th Cir. 2011) (“a salary is not bona fide or earned in the usual course of business under §666(c) if the employee is not entitled to the money.” (quoting </w:t>
      </w:r>
      <w:r w:rsidRPr="00564932">
        <w:rPr>
          <w:rFonts w:ascii="Times New Roman" w:eastAsia="Arial" w:hAnsi="Times New Roman" w:cs="Times New Roman"/>
          <w:i/>
          <w:sz w:val="26"/>
          <w:szCs w:val="26"/>
        </w:rPr>
        <w:t>United States v. Williams</w:t>
      </w:r>
      <w:r w:rsidRPr="00564932">
        <w:rPr>
          <w:rFonts w:ascii="Times New Roman" w:eastAsia="Arial" w:hAnsi="Times New Roman" w:cs="Times New Roman"/>
          <w:sz w:val="26"/>
          <w:szCs w:val="26"/>
        </w:rPr>
        <w:t>, 507 F.3d 905, 908 (5th Cir. 2007))).</w:t>
      </w:r>
    </w:p>
    <w:p w:rsidR="00564932" w:rsidRDefault="00564932" w:rsidP="0002352A">
      <w:pPr>
        <w:spacing w:after="0" w:line="240" w:lineRule="auto"/>
        <w:jc w:val="both"/>
        <w:rPr>
          <w:rFonts w:ascii="Times New Roman" w:eastAsia="Arial" w:hAnsi="Times New Roman" w:cs="Times New Roman"/>
          <w:sz w:val="26"/>
          <w:szCs w:val="26"/>
        </w:rPr>
      </w:pPr>
    </w:p>
    <w:p w:rsidR="00564932" w:rsidRPr="00564932" w:rsidRDefault="00564932" w:rsidP="00564932">
      <w:pPr>
        <w:spacing w:after="0" w:line="240" w:lineRule="auto"/>
        <w:jc w:val="both"/>
        <w:rPr>
          <w:rFonts w:ascii="Times New Roman" w:eastAsia="Arial" w:hAnsi="Times New Roman" w:cs="Times New Roman"/>
          <w:sz w:val="26"/>
          <w:szCs w:val="26"/>
        </w:rPr>
      </w:pPr>
      <w:proofErr w:type="gramStart"/>
      <w:r w:rsidRPr="00564932">
        <w:rPr>
          <w:rFonts w:ascii="Times New Roman" w:eastAsia="Arial" w:hAnsi="Times New Roman" w:cs="Times New Roman"/>
          <w:sz w:val="26"/>
          <w:szCs w:val="26"/>
        </w:rPr>
        <w:t>State, Local or Indian Tribal Government.</w:t>
      </w:r>
      <w:proofErr w:type="gramEnd"/>
    </w:p>
    <w:p w:rsidR="00564932" w:rsidRDefault="00564932" w:rsidP="0002352A">
      <w:pPr>
        <w:spacing w:after="0" w:line="240" w:lineRule="auto"/>
        <w:jc w:val="both"/>
        <w:rPr>
          <w:rFonts w:ascii="Times New Roman" w:eastAsia="Arial" w:hAnsi="Times New Roman" w:cs="Times New Roman"/>
          <w:sz w:val="26"/>
          <w:szCs w:val="26"/>
        </w:rPr>
      </w:pPr>
    </w:p>
    <w:p w:rsidR="00564932" w:rsidRPr="00564932" w:rsidRDefault="00564932" w:rsidP="00564932">
      <w:pPr>
        <w:spacing w:after="0" w:line="240" w:lineRule="auto"/>
        <w:jc w:val="both"/>
        <w:rPr>
          <w:rFonts w:ascii="Times New Roman" w:eastAsia="Arial" w:hAnsi="Times New Roman" w:cs="Times New Roman"/>
          <w:sz w:val="26"/>
          <w:szCs w:val="26"/>
        </w:rPr>
      </w:pPr>
      <w:r w:rsidRPr="00564932">
        <w:rPr>
          <w:rFonts w:ascii="Times New Roman" w:eastAsia="Arial" w:hAnsi="Times New Roman" w:cs="Times New Roman"/>
          <w:sz w:val="26"/>
          <w:szCs w:val="26"/>
        </w:rPr>
        <w:t>The definitions in the instruction are derived from 18 U.S.C. §§666(d</w:t>
      </w:r>
      <w:proofErr w:type="gramStart"/>
      <w:r w:rsidRPr="00564932">
        <w:rPr>
          <w:rFonts w:ascii="Times New Roman" w:eastAsia="Arial" w:hAnsi="Times New Roman" w:cs="Times New Roman"/>
          <w:sz w:val="26"/>
          <w:szCs w:val="26"/>
        </w:rPr>
        <w:t>)(</w:t>
      </w:r>
      <w:proofErr w:type="gramEnd"/>
      <w:r w:rsidRPr="00564932">
        <w:rPr>
          <w:rFonts w:ascii="Times New Roman" w:eastAsia="Arial" w:hAnsi="Times New Roman" w:cs="Times New Roman"/>
          <w:sz w:val="26"/>
          <w:szCs w:val="26"/>
        </w:rPr>
        <w:t xml:space="preserve">2) through 666(d)(4). 18 U.S.C. §666 criminalizes behavior affecting funds owned by or under the care, custody or control of State, local or Indian tribal governments, or an agency, thereof, not the Federal government or any agency thereof. </w:t>
      </w:r>
      <w:r w:rsidRPr="00564932">
        <w:rPr>
          <w:rFonts w:ascii="Times New Roman" w:eastAsia="Arial" w:hAnsi="Times New Roman" w:cs="Times New Roman"/>
          <w:i/>
          <w:sz w:val="26"/>
          <w:szCs w:val="26"/>
        </w:rPr>
        <w:t>See</w:t>
      </w:r>
      <w:r w:rsidRPr="00564932">
        <w:rPr>
          <w:rFonts w:ascii="Times New Roman" w:eastAsia="Arial" w:hAnsi="Times New Roman" w:cs="Times New Roman"/>
          <w:sz w:val="26"/>
          <w:szCs w:val="26"/>
        </w:rPr>
        <w:t xml:space="preserve"> S. Rep. No. 225 at 369–71, </w:t>
      </w:r>
      <w:r w:rsidRPr="00564932">
        <w:rPr>
          <w:rFonts w:ascii="Times New Roman" w:eastAsia="Arial" w:hAnsi="Times New Roman" w:cs="Times New Roman"/>
          <w:i/>
          <w:sz w:val="26"/>
          <w:szCs w:val="26"/>
        </w:rPr>
        <w:t>reprinted in</w:t>
      </w:r>
      <w:r w:rsidRPr="00564932">
        <w:rPr>
          <w:rFonts w:ascii="Times New Roman" w:eastAsia="Arial" w:hAnsi="Times New Roman" w:cs="Times New Roman"/>
          <w:sz w:val="26"/>
          <w:szCs w:val="26"/>
        </w:rPr>
        <w:t xml:space="preserve"> 1984 U.S.C.C.A.N. 3182, 3510–3511 (18 U.S.C. §666 was “designed to </w:t>
      </w:r>
      <w:r w:rsidRPr="00564932">
        <w:rPr>
          <w:rFonts w:ascii="Times New Roman" w:eastAsia="Arial" w:hAnsi="Times New Roman" w:cs="Times New Roman"/>
          <w:sz w:val="26"/>
          <w:szCs w:val="26"/>
        </w:rPr>
        <w:lastRenderedPageBreak/>
        <w:t>create new offenses to augment the ability of the United States to vindicate significant acts of theft, fraud, and bribery involving Federal monies that are disbursed to private organizations or state and local governments pursuant to a Federal program”).</w:t>
      </w:r>
    </w:p>
    <w:p w:rsidR="00564932" w:rsidRPr="00564932" w:rsidRDefault="00564932" w:rsidP="00564932">
      <w:pPr>
        <w:spacing w:after="0" w:line="240" w:lineRule="auto"/>
        <w:jc w:val="both"/>
        <w:rPr>
          <w:rFonts w:ascii="Times New Roman" w:eastAsia="Arial" w:hAnsi="Times New Roman" w:cs="Times New Roman"/>
          <w:sz w:val="26"/>
          <w:szCs w:val="26"/>
        </w:rPr>
      </w:pPr>
      <w:r w:rsidRPr="00564932">
        <w:rPr>
          <w:rFonts w:ascii="Times New Roman" w:eastAsia="Arial" w:hAnsi="Times New Roman" w:cs="Times New Roman"/>
          <w:sz w:val="26"/>
          <w:szCs w:val="26"/>
        </w:rPr>
        <w:t xml:space="preserve"> </w:t>
      </w:r>
    </w:p>
    <w:p w:rsidR="00564932" w:rsidRPr="00564932" w:rsidRDefault="00564932" w:rsidP="00564932">
      <w:pPr>
        <w:spacing w:after="0" w:line="240" w:lineRule="auto"/>
        <w:jc w:val="both"/>
        <w:rPr>
          <w:rFonts w:ascii="Times New Roman" w:eastAsia="Arial" w:hAnsi="Times New Roman" w:cs="Times New Roman"/>
          <w:sz w:val="26"/>
          <w:szCs w:val="26"/>
        </w:rPr>
      </w:pPr>
      <w:r w:rsidRPr="00564932">
        <w:rPr>
          <w:rFonts w:ascii="Times New Roman" w:eastAsia="Arial" w:hAnsi="Times New Roman" w:cs="Times New Roman"/>
          <w:sz w:val="26"/>
          <w:szCs w:val="26"/>
        </w:rPr>
        <w:t>Steal or Embezzle.</w:t>
      </w:r>
    </w:p>
    <w:p w:rsidR="00564932" w:rsidRPr="00564932" w:rsidRDefault="00564932" w:rsidP="00564932">
      <w:pPr>
        <w:spacing w:after="0" w:line="240" w:lineRule="auto"/>
        <w:jc w:val="both"/>
        <w:rPr>
          <w:rFonts w:ascii="Times New Roman" w:eastAsia="Arial" w:hAnsi="Times New Roman" w:cs="Times New Roman"/>
          <w:sz w:val="26"/>
          <w:szCs w:val="26"/>
        </w:rPr>
      </w:pPr>
    </w:p>
    <w:p w:rsidR="00564932" w:rsidRPr="00564932" w:rsidRDefault="00564932" w:rsidP="00564932">
      <w:pPr>
        <w:spacing w:after="0" w:line="240" w:lineRule="auto"/>
        <w:jc w:val="both"/>
        <w:rPr>
          <w:rFonts w:ascii="Times New Roman" w:eastAsia="Arial" w:hAnsi="Times New Roman" w:cs="Times New Roman"/>
          <w:sz w:val="26"/>
          <w:szCs w:val="26"/>
        </w:rPr>
      </w:pPr>
      <w:r w:rsidRPr="00564932">
        <w:rPr>
          <w:rFonts w:ascii="Times New Roman" w:eastAsia="Arial" w:hAnsi="Times New Roman" w:cs="Times New Roman"/>
          <w:sz w:val="26"/>
          <w:szCs w:val="26"/>
        </w:rPr>
        <w:t>The definitions of “steal” and “embezzle,” as used in this instruction, are consistent with the definitions of those terms in Offense Instruction 21 regarding Theft of Government Money or Property under 18 U.S.C. §641.</w:t>
      </w:r>
    </w:p>
    <w:p w:rsidR="00564932" w:rsidRDefault="00564932" w:rsidP="0002352A">
      <w:pPr>
        <w:spacing w:after="0" w:line="240" w:lineRule="auto"/>
        <w:jc w:val="both"/>
        <w:rPr>
          <w:rFonts w:ascii="Times New Roman" w:eastAsia="Arial" w:hAnsi="Times New Roman" w:cs="Times New Roman"/>
          <w:sz w:val="26"/>
          <w:szCs w:val="26"/>
        </w:rPr>
      </w:pPr>
      <w:bookmarkStart w:id="0" w:name="_GoBack"/>
      <w:bookmarkEnd w:id="0"/>
    </w:p>
    <w:p w:rsidR="00564932" w:rsidRDefault="00564932" w:rsidP="0002352A">
      <w:pPr>
        <w:spacing w:after="0" w:line="240" w:lineRule="auto"/>
        <w:jc w:val="both"/>
        <w:rPr>
          <w:rFonts w:ascii="Times New Roman" w:eastAsia="Arial" w:hAnsi="Times New Roman" w:cs="Times New Roman"/>
          <w:sz w:val="26"/>
          <w:szCs w:val="26"/>
        </w:rPr>
      </w:pPr>
    </w:p>
    <w:p w:rsidR="00564932" w:rsidRPr="0002352A" w:rsidRDefault="00564932" w:rsidP="0002352A">
      <w:pPr>
        <w:spacing w:after="0" w:line="240" w:lineRule="auto"/>
        <w:jc w:val="both"/>
        <w:rPr>
          <w:rFonts w:ascii="Times New Roman" w:eastAsia="Arial" w:hAnsi="Times New Roman" w:cs="Times New Roman"/>
          <w:sz w:val="26"/>
          <w:szCs w:val="26"/>
        </w:rPr>
      </w:pPr>
    </w:p>
    <w:sectPr w:rsidR="00564932" w:rsidRPr="000235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DFE" w:rsidRDefault="00693DFE" w:rsidP="00693DFE">
      <w:pPr>
        <w:spacing w:after="0" w:line="240" w:lineRule="auto"/>
      </w:pPr>
      <w:r>
        <w:separator/>
      </w:r>
    </w:p>
  </w:endnote>
  <w:endnote w:type="continuationSeparator" w:id="0">
    <w:p w:rsidR="00693DFE" w:rsidRDefault="00693DFE" w:rsidP="00693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DFE" w:rsidRDefault="00693DFE" w:rsidP="00693DFE">
      <w:pPr>
        <w:spacing w:after="0" w:line="240" w:lineRule="auto"/>
      </w:pPr>
      <w:r>
        <w:separator/>
      </w:r>
    </w:p>
  </w:footnote>
  <w:footnote w:type="continuationSeparator" w:id="0">
    <w:p w:rsidR="00693DFE" w:rsidRDefault="00693DFE" w:rsidP="00693D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5723A"/>
    <w:rsid w:val="0006716B"/>
    <w:rsid w:val="00091548"/>
    <w:rsid w:val="000C32C1"/>
    <w:rsid w:val="00110446"/>
    <w:rsid w:val="001217D5"/>
    <w:rsid w:val="0012744C"/>
    <w:rsid w:val="00135397"/>
    <w:rsid w:val="00157747"/>
    <w:rsid w:val="00194E82"/>
    <w:rsid w:val="001E5B53"/>
    <w:rsid w:val="002329BF"/>
    <w:rsid w:val="00233997"/>
    <w:rsid w:val="00236275"/>
    <w:rsid w:val="00245EF2"/>
    <w:rsid w:val="002604B9"/>
    <w:rsid w:val="003067A0"/>
    <w:rsid w:val="003A75E9"/>
    <w:rsid w:val="003D6207"/>
    <w:rsid w:val="00406A43"/>
    <w:rsid w:val="00465F35"/>
    <w:rsid w:val="004A354F"/>
    <w:rsid w:val="004C148A"/>
    <w:rsid w:val="00503A01"/>
    <w:rsid w:val="00511CE4"/>
    <w:rsid w:val="0056064A"/>
    <w:rsid w:val="00564932"/>
    <w:rsid w:val="00586722"/>
    <w:rsid w:val="005B45D9"/>
    <w:rsid w:val="005C4DB9"/>
    <w:rsid w:val="00615301"/>
    <w:rsid w:val="006179FB"/>
    <w:rsid w:val="00632C46"/>
    <w:rsid w:val="00636B96"/>
    <w:rsid w:val="00693DFE"/>
    <w:rsid w:val="006B1FC0"/>
    <w:rsid w:val="00725167"/>
    <w:rsid w:val="00780FDD"/>
    <w:rsid w:val="00783A2A"/>
    <w:rsid w:val="007C4B9C"/>
    <w:rsid w:val="007F40B8"/>
    <w:rsid w:val="0081575C"/>
    <w:rsid w:val="008A442C"/>
    <w:rsid w:val="008B4118"/>
    <w:rsid w:val="008C025F"/>
    <w:rsid w:val="008E0F69"/>
    <w:rsid w:val="008E221D"/>
    <w:rsid w:val="008E4BA2"/>
    <w:rsid w:val="008E7C9B"/>
    <w:rsid w:val="009458BA"/>
    <w:rsid w:val="009745AC"/>
    <w:rsid w:val="009F5DAD"/>
    <w:rsid w:val="00A355FD"/>
    <w:rsid w:val="00A66EA6"/>
    <w:rsid w:val="00AA01A6"/>
    <w:rsid w:val="00AA4174"/>
    <w:rsid w:val="00AC24E2"/>
    <w:rsid w:val="00AE0F43"/>
    <w:rsid w:val="00AE20D4"/>
    <w:rsid w:val="00AF2C77"/>
    <w:rsid w:val="00B111CD"/>
    <w:rsid w:val="00B85D99"/>
    <w:rsid w:val="00B930F5"/>
    <w:rsid w:val="00BA1F2B"/>
    <w:rsid w:val="00BD01A4"/>
    <w:rsid w:val="00BE645C"/>
    <w:rsid w:val="00C1091D"/>
    <w:rsid w:val="00CC4195"/>
    <w:rsid w:val="00CD51F7"/>
    <w:rsid w:val="00CD734E"/>
    <w:rsid w:val="00CE7DC5"/>
    <w:rsid w:val="00CF4F9A"/>
    <w:rsid w:val="00D163A7"/>
    <w:rsid w:val="00D316CC"/>
    <w:rsid w:val="00D513C4"/>
    <w:rsid w:val="00D7262F"/>
    <w:rsid w:val="00DA00D9"/>
    <w:rsid w:val="00DC18AE"/>
    <w:rsid w:val="00DE7E97"/>
    <w:rsid w:val="00DE7F68"/>
    <w:rsid w:val="00E109DF"/>
    <w:rsid w:val="00E20CB0"/>
    <w:rsid w:val="00E31401"/>
    <w:rsid w:val="00E419F1"/>
    <w:rsid w:val="00E42DFC"/>
    <w:rsid w:val="00E627E0"/>
    <w:rsid w:val="00E85563"/>
    <w:rsid w:val="00EA08A4"/>
    <w:rsid w:val="00EB1384"/>
    <w:rsid w:val="00F27B7F"/>
    <w:rsid w:val="00FA4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693D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DFE"/>
  </w:style>
  <w:style w:type="paragraph" w:styleId="Footer">
    <w:name w:val="footer"/>
    <w:basedOn w:val="Normal"/>
    <w:link w:val="FooterChar"/>
    <w:uiPriority w:val="99"/>
    <w:unhideWhenUsed/>
    <w:rsid w:val="00693D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D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693D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DFE"/>
  </w:style>
  <w:style w:type="paragraph" w:styleId="Footer">
    <w:name w:val="footer"/>
    <w:basedOn w:val="Normal"/>
    <w:link w:val="FooterChar"/>
    <w:uiPriority w:val="99"/>
    <w:unhideWhenUsed/>
    <w:rsid w:val="00693D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D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1109</Words>
  <Characters>6323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2014-03-31T23:08:00Z</dcterms:created>
  <dcterms:modified xsi:type="dcterms:W3CDTF">2015-09-10T19:54:00Z</dcterms:modified>
</cp:coreProperties>
</file>