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7AB7D" w14:textId="4F604389" w:rsidR="00D9278C" w:rsidRPr="00A72F2D" w:rsidRDefault="00D9278C" w:rsidP="00392F9B">
      <w:pPr>
        <w:pStyle w:val="NoSpacing"/>
        <w:spacing w:after="20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A72F2D">
        <w:rPr>
          <w:rFonts w:ascii="Times New Roman" w:hAnsi="Times New Roman" w:cs="Times New Roman"/>
          <w:b/>
          <w:sz w:val="26"/>
          <w:szCs w:val="26"/>
          <w:u w:val="single"/>
        </w:rPr>
        <w:t>ANNOTATIONS AND COMMENTS</w:t>
      </w:r>
    </w:p>
    <w:p w14:paraId="7579C729" w14:textId="66C86514" w:rsidR="00E17025" w:rsidRPr="00A72F2D" w:rsidRDefault="00E17025" w:rsidP="00822EB4">
      <w:pPr>
        <w:pStyle w:val="NoSpacing"/>
        <w:spacing w:after="200"/>
        <w:jc w:val="both"/>
        <w:rPr>
          <w:rFonts w:ascii="Times New Roman" w:hAnsi="Times New Roman" w:cs="Times New Roman"/>
          <w:sz w:val="26"/>
          <w:szCs w:val="26"/>
        </w:rPr>
      </w:pPr>
      <w:r w:rsidRPr="00A72F2D">
        <w:rPr>
          <w:rFonts w:ascii="Times New Roman" w:hAnsi="Times New Roman" w:cs="Times New Roman"/>
          <w:sz w:val="26"/>
          <w:szCs w:val="26"/>
        </w:rPr>
        <w:t>18 U.S.C. § 666</w:t>
      </w:r>
      <w:r w:rsidR="00564CCC">
        <w:rPr>
          <w:rFonts w:ascii="Times New Roman" w:hAnsi="Times New Roman" w:cs="Times New Roman"/>
          <w:sz w:val="26"/>
          <w:szCs w:val="26"/>
        </w:rPr>
        <w:t>(a)(2)</w:t>
      </w:r>
      <w:r w:rsidRPr="00A72F2D">
        <w:rPr>
          <w:rFonts w:ascii="Times New Roman" w:hAnsi="Times New Roman" w:cs="Times New Roman"/>
          <w:sz w:val="26"/>
          <w:szCs w:val="26"/>
        </w:rPr>
        <w:t xml:space="preserve"> provides:</w:t>
      </w:r>
    </w:p>
    <w:p w14:paraId="0253592C" w14:textId="526C6ECE" w:rsidR="00E17025" w:rsidRPr="00A72F2D" w:rsidRDefault="002E6FB9" w:rsidP="002E6FB9">
      <w:pPr>
        <w:pStyle w:val="NoSpacing"/>
        <w:spacing w:after="200"/>
        <w:ind w:left="720" w:righ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fldChar w:fldCharType="begin"/>
      </w:r>
      <w:r>
        <w:rPr>
          <w:rFonts w:ascii="Times New Roman" w:hAnsi="Times New Roman" w:cs="Times New Roman"/>
          <w:sz w:val="26"/>
          <w:szCs w:val="26"/>
        </w:rPr>
        <w:instrText xml:space="preserve"> LISTNUM  NumberDefault \l 5 \s 1 </w:instrText>
      </w:r>
      <w:r>
        <w:rPr>
          <w:rFonts w:ascii="Times New Roman" w:hAnsi="Times New Roman" w:cs="Times New Roman"/>
          <w:sz w:val="26"/>
          <w:szCs w:val="26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17025" w:rsidRPr="00A72F2D">
        <w:rPr>
          <w:rFonts w:ascii="Times New Roman" w:hAnsi="Times New Roman" w:cs="Times New Roman"/>
          <w:sz w:val="26"/>
          <w:szCs w:val="26"/>
        </w:rPr>
        <w:t xml:space="preserve">Whoever, if the circumstance described in subsection </w:t>
      </w:r>
      <w:r w:rsidR="00564CCC">
        <w:rPr>
          <w:rFonts w:ascii="Times New Roman" w:hAnsi="Times New Roman" w:cs="Times New Roman"/>
          <w:sz w:val="26"/>
          <w:szCs w:val="26"/>
        </w:rPr>
        <w:t>(b)</w:t>
      </w:r>
      <w:r w:rsidR="00687262" w:rsidRPr="00A72F2D">
        <w:rPr>
          <w:rFonts w:ascii="Times New Roman" w:hAnsi="Times New Roman" w:cs="Times New Roman"/>
          <w:sz w:val="26"/>
          <w:szCs w:val="26"/>
        </w:rPr>
        <w:t xml:space="preserve"> </w:t>
      </w:r>
      <w:r w:rsidR="00E17025" w:rsidRPr="00A72F2D">
        <w:rPr>
          <w:rFonts w:ascii="Times New Roman" w:hAnsi="Times New Roman" w:cs="Times New Roman"/>
          <w:sz w:val="26"/>
          <w:szCs w:val="26"/>
        </w:rPr>
        <w:t>of this section exists - -</w:t>
      </w:r>
    </w:p>
    <w:p w14:paraId="29193DB9" w14:textId="0F28772F" w:rsidR="00E17025" w:rsidRPr="00A72F2D" w:rsidRDefault="002E6FB9" w:rsidP="002E6FB9">
      <w:pPr>
        <w:pStyle w:val="NoSpacing"/>
        <w:spacing w:after="200"/>
        <w:ind w:left="1440" w:right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fldChar w:fldCharType="begin"/>
      </w:r>
      <w:r>
        <w:rPr>
          <w:rFonts w:ascii="Times New Roman" w:hAnsi="Times New Roman" w:cs="Times New Roman"/>
          <w:sz w:val="26"/>
          <w:szCs w:val="26"/>
        </w:rPr>
        <w:instrText xml:space="preserve"> LISTNUM  NumberDefault \l 4 \s 2 </w:instrText>
      </w:r>
      <w:r>
        <w:rPr>
          <w:rFonts w:ascii="Times New Roman" w:hAnsi="Times New Roman" w:cs="Times New Roman"/>
          <w:sz w:val="26"/>
          <w:szCs w:val="26"/>
        </w:rPr>
        <w:fldChar w:fldCharType="end"/>
      </w:r>
      <w:bookmarkStart w:id="0" w:name="_GoBack"/>
      <w:bookmarkEnd w:id="0"/>
      <w:r w:rsidR="00E17025" w:rsidRPr="00A72F2D">
        <w:rPr>
          <w:rFonts w:ascii="Times New Roman" w:hAnsi="Times New Roman" w:cs="Times New Roman"/>
          <w:sz w:val="26"/>
          <w:szCs w:val="26"/>
        </w:rPr>
        <w:t xml:space="preserve">corruptly gives, offers, or agrees to give anything of value to any person, with intent to influence </w:t>
      </w:r>
      <w:r w:rsidR="006B7B6F" w:rsidRPr="00A72F2D">
        <w:rPr>
          <w:rFonts w:ascii="Times New Roman" w:hAnsi="Times New Roman" w:cs="Times New Roman"/>
          <w:sz w:val="26"/>
          <w:szCs w:val="26"/>
        </w:rPr>
        <w:t>or reward</w:t>
      </w:r>
      <w:r w:rsidR="00D331BF" w:rsidRPr="00A72F2D">
        <w:rPr>
          <w:rFonts w:ascii="Times New Roman" w:hAnsi="Times New Roman" w:cs="Times New Roman"/>
          <w:sz w:val="26"/>
          <w:szCs w:val="26"/>
        </w:rPr>
        <w:t xml:space="preserve"> an agent of an organization or of a State, local or Indian tribal government, or any agency thereof, in connection with any business, transaction, or series of transactions of such organization, government, or agency involving anything of value of $5,000 or more [shall be guilty of an offense against the United States].</w:t>
      </w:r>
    </w:p>
    <w:p w14:paraId="135ED18A" w14:textId="6A7CD7B7" w:rsidR="00D331BF" w:rsidRPr="00A72F2D" w:rsidRDefault="002E6FB9" w:rsidP="002E6FB9">
      <w:pPr>
        <w:pStyle w:val="NoSpacing"/>
        <w:spacing w:after="200"/>
        <w:ind w:left="720" w:righ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fldChar w:fldCharType="begin"/>
      </w:r>
      <w:r>
        <w:rPr>
          <w:rFonts w:ascii="Times New Roman" w:hAnsi="Times New Roman" w:cs="Times New Roman"/>
          <w:sz w:val="26"/>
          <w:szCs w:val="26"/>
        </w:rPr>
        <w:instrText xml:space="preserve"> LISTNUM  NumberDefault \l 5 \s 2 </w:instrText>
      </w:r>
      <w:r>
        <w:rPr>
          <w:rFonts w:ascii="Times New Roman" w:hAnsi="Times New Roman" w:cs="Times New Roman"/>
          <w:sz w:val="26"/>
          <w:szCs w:val="26"/>
        </w:rPr>
        <w:fldChar w:fldCharType="end"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331BF" w:rsidRPr="00A72F2D">
        <w:rPr>
          <w:rFonts w:ascii="Times New Roman" w:hAnsi="Times New Roman" w:cs="Times New Roman"/>
          <w:sz w:val="26"/>
          <w:szCs w:val="26"/>
        </w:rPr>
        <w:t xml:space="preserve">The circumstance referred to in subsection </w:t>
      </w:r>
      <w:r w:rsidR="00564CCC">
        <w:rPr>
          <w:rFonts w:ascii="Times New Roman" w:hAnsi="Times New Roman" w:cs="Times New Roman"/>
          <w:sz w:val="26"/>
          <w:szCs w:val="26"/>
        </w:rPr>
        <w:t>(a)</w:t>
      </w:r>
      <w:r w:rsidR="00D331BF" w:rsidRPr="00A72F2D">
        <w:rPr>
          <w:rFonts w:ascii="Times New Roman" w:hAnsi="Times New Roman" w:cs="Times New Roman"/>
          <w:sz w:val="26"/>
          <w:szCs w:val="26"/>
        </w:rPr>
        <w:t xml:space="preserve"> of this section is that the organization, government, or agency receives, in any one</w:t>
      </w:r>
      <w:r w:rsidR="00697EB9" w:rsidRPr="00A72F2D">
        <w:rPr>
          <w:rFonts w:ascii="Times New Roman" w:hAnsi="Times New Roman" w:cs="Times New Roman"/>
          <w:sz w:val="26"/>
          <w:szCs w:val="26"/>
        </w:rPr>
        <w:t>[-]</w:t>
      </w:r>
      <w:r w:rsidR="00D331BF" w:rsidRPr="00A72F2D">
        <w:rPr>
          <w:rFonts w:ascii="Times New Roman" w:hAnsi="Times New Roman" w:cs="Times New Roman"/>
          <w:sz w:val="26"/>
          <w:szCs w:val="26"/>
        </w:rPr>
        <w:t>year period, benefits in excess of $10,000 under a Federal program involving a grant, contract, subsidy, loan, guarantee, insurance, or other form of Federal assistance.</w:t>
      </w:r>
    </w:p>
    <w:p w14:paraId="7CAAA236" w14:textId="0A30A37D" w:rsidR="00697EB9" w:rsidRPr="00A72F2D" w:rsidRDefault="00697EB9" w:rsidP="00392F9B">
      <w:pPr>
        <w:pStyle w:val="NoSpacing"/>
        <w:spacing w:after="200"/>
        <w:jc w:val="both"/>
        <w:rPr>
          <w:rFonts w:ascii="Times New Roman" w:hAnsi="Times New Roman" w:cs="Times New Roman"/>
          <w:sz w:val="26"/>
          <w:szCs w:val="26"/>
        </w:rPr>
      </w:pPr>
      <w:r w:rsidRPr="00A72F2D">
        <w:rPr>
          <w:rFonts w:ascii="Times New Roman" w:hAnsi="Times New Roman" w:cs="Times New Roman"/>
          <w:sz w:val="26"/>
          <w:szCs w:val="26"/>
        </w:rPr>
        <w:t>Maximum Penalty: Ten years imprisonment and applicable fine</w:t>
      </w:r>
      <w:r w:rsidR="001A7E5D" w:rsidRPr="00A72F2D">
        <w:rPr>
          <w:rFonts w:ascii="Times New Roman" w:hAnsi="Times New Roman" w:cs="Times New Roman"/>
          <w:sz w:val="26"/>
          <w:szCs w:val="26"/>
        </w:rPr>
        <w:t>.</w:t>
      </w:r>
    </w:p>
    <w:p w14:paraId="63121D49" w14:textId="50437E81" w:rsidR="00B9276F" w:rsidRPr="00A72F2D" w:rsidRDefault="006F58BF" w:rsidP="00392F9B">
      <w:pPr>
        <w:pStyle w:val="NoSpacing"/>
        <w:spacing w:after="200"/>
        <w:jc w:val="both"/>
        <w:rPr>
          <w:rFonts w:ascii="Times New Roman" w:hAnsi="Times New Roman" w:cs="Times New Roman"/>
          <w:sz w:val="26"/>
          <w:szCs w:val="26"/>
        </w:rPr>
      </w:pPr>
      <w:r w:rsidRPr="00A72F2D">
        <w:rPr>
          <w:rFonts w:ascii="Times New Roman" w:hAnsi="Times New Roman" w:cs="Times New Roman"/>
          <w:sz w:val="26"/>
          <w:szCs w:val="26"/>
        </w:rPr>
        <w:t xml:space="preserve">In </w:t>
      </w:r>
      <w:r w:rsidRPr="00A72F2D">
        <w:rPr>
          <w:rFonts w:ascii="Times New Roman" w:hAnsi="Times New Roman" w:cs="Times New Roman"/>
          <w:i/>
          <w:sz w:val="26"/>
          <w:szCs w:val="26"/>
        </w:rPr>
        <w:t>United States v. McNair</w:t>
      </w:r>
      <w:r w:rsidRPr="00A72F2D">
        <w:rPr>
          <w:rFonts w:ascii="Times New Roman" w:hAnsi="Times New Roman" w:cs="Times New Roman"/>
          <w:sz w:val="26"/>
          <w:szCs w:val="26"/>
        </w:rPr>
        <w:t xml:space="preserve">, </w:t>
      </w:r>
      <w:r w:rsidR="001E70D1" w:rsidRPr="00A72F2D">
        <w:rPr>
          <w:rFonts w:ascii="Times New Roman" w:hAnsi="Times New Roman" w:cs="Times New Roman"/>
          <w:sz w:val="26"/>
          <w:szCs w:val="26"/>
        </w:rPr>
        <w:t>605 F.3d 1152, 11</w:t>
      </w:r>
      <w:r w:rsidR="002D773B" w:rsidRPr="00A72F2D">
        <w:rPr>
          <w:rFonts w:ascii="Times New Roman" w:hAnsi="Times New Roman" w:cs="Times New Roman"/>
          <w:sz w:val="26"/>
          <w:szCs w:val="26"/>
        </w:rPr>
        <w:t>88</w:t>
      </w:r>
      <w:r w:rsidR="001E70D1" w:rsidRPr="00A72F2D">
        <w:rPr>
          <w:rFonts w:ascii="Times New Roman" w:hAnsi="Times New Roman" w:cs="Times New Roman"/>
          <w:sz w:val="26"/>
          <w:szCs w:val="26"/>
        </w:rPr>
        <w:t xml:space="preserve"> (11th Cir. 2010), </w:t>
      </w:r>
      <w:r w:rsidRPr="00A72F2D">
        <w:rPr>
          <w:rFonts w:ascii="Times New Roman" w:hAnsi="Times New Roman" w:cs="Times New Roman"/>
          <w:sz w:val="26"/>
          <w:szCs w:val="26"/>
        </w:rPr>
        <w:t xml:space="preserve">the </w:t>
      </w:r>
      <w:r w:rsidR="003E3D10" w:rsidRPr="00A72F2D">
        <w:rPr>
          <w:rFonts w:ascii="Times New Roman" w:hAnsi="Times New Roman" w:cs="Times New Roman"/>
          <w:sz w:val="26"/>
          <w:szCs w:val="26"/>
        </w:rPr>
        <w:t>Eleventh Circuit</w:t>
      </w:r>
      <w:r w:rsidR="003E6BAB" w:rsidRPr="00A72F2D">
        <w:rPr>
          <w:rFonts w:ascii="Times New Roman" w:hAnsi="Times New Roman" w:cs="Times New Roman"/>
          <w:sz w:val="26"/>
          <w:szCs w:val="26"/>
        </w:rPr>
        <w:t xml:space="preserve"> held that neither §</w:t>
      </w:r>
      <w:r w:rsidR="001E70D1" w:rsidRPr="00A72F2D">
        <w:rPr>
          <w:rFonts w:ascii="Times New Roman" w:hAnsi="Times New Roman" w:cs="Times New Roman"/>
          <w:sz w:val="26"/>
          <w:szCs w:val="26"/>
        </w:rPr>
        <w:t xml:space="preserve"> 666</w:t>
      </w:r>
      <w:r w:rsidR="00564CCC">
        <w:rPr>
          <w:rFonts w:ascii="Times New Roman" w:hAnsi="Times New Roman" w:cs="Times New Roman"/>
          <w:sz w:val="26"/>
          <w:szCs w:val="26"/>
        </w:rPr>
        <w:t>(a)(1)</w:t>
      </w:r>
      <w:r w:rsidR="001E70D1" w:rsidRPr="00A72F2D">
        <w:rPr>
          <w:rFonts w:ascii="Times New Roman" w:hAnsi="Times New Roman" w:cs="Times New Roman"/>
          <w:sz w:val="26"/>
          <w:szCs w:val="26"/>
        </w:rPr>
        <w:t>(B) nor</w:t>
      </w:r>
      <w:r w:rsidR="00564CCC">
        <w:rPr>
          <w:rFonts w:ascii="Times New Roman" w:hAnsi="Times New Roman" w:cs="Times New Roman"/>
          <w:sz w:val="26"/>
          <w:szCs w:val="26"/>
        </w:rPr>
        <w:t xml:space="preserve"> (a)(2)</w:t>
      </w:r>
      <w:r w:rsidR="001E70D1" w:rsidRPr="00A72F2D">
        <w:rPr>
          <w:rFonts w:ascii="Times New Roman" w:hAnsi="Times New Roman" w:cs="Times New Roman"/>
          <w:sz w:val="26"/>
          <w:szCs w:val="26"/>
        </w:rPr>
        <w:t xml:space="preserve">  requires </w:t>
      </w:r>
      <w:r w:rsidR="003E6BAB" w:rsidRPr="00A72F2D">
        <w:rPr>
          <w:rFonts w:ascii="Times New Roman" w:hAnsi="Times New Roman" w:cs="Times New Roman"/>
          <w:sz w:val="26"/>
          <w:szCs w:val="26"/>
        </w:rPr>
        <w:t>“</w:t>
      </w:r>
      <w:r w:rsidR="001E70D1" w:rsidRPr="00A72F2D">
        <w:rPr>
          <w:rFonts w:ascii="Times New Roman" w:hAnsi="Times New Roman" w:cs="Times New Roman"/>
          <w:sz w:val="26"/>
          <w:szCs w:val="26"/>
        </w:rPr>
        <w:t>that</w:t>
      </w:r>
      <w:r w:rsidR="003E6BAB" w:rsidRPr="00A72F2D">
        <w:rPr>
          <w:rFonts w:ascii="Times New Roman" w:hAnsi="Times New Roman" w:cs="Times New Roman"/>
          <w:sz w:val="26"/>
          <w:szCs w:val="26"/>
        </w:rPr>
        <w:t xml:space="preserve"> the government allege or prove an intent that a specific payment was solicited, received, or given in exchange for a specific official act, termed a </w:t>
      </w:r>
      <w:r w:rsidR="003E6BAB" w:rsidRPr="00A72F2D">
        <w:rPr>
          <w:rFonts w:ascii="Times New Roman" w:hAnsi="Times New Roman" w:cs="Times New Roman"/>
          <w:i/>
          <w:sz w:val="26"/>
          <w:szCs w:val="26"/>
        </w:rPr>
        <w:t>quid pro quo</w:t>
      </w:r>
      <w:r w:rsidR="003E6BAB" w:rsidRPr="00A72F2D">
        <w:rPr>
          <w:rFonts w:ascii="Times New Roman" w:hAnsi="Times New Roman" w:cs="Times New Roman"/>
          <w:sz w:val="26"/>
          <w:szCs w:val="26"/>
        </w:rPr>
        <w:t>.”</w:t>
      </w:r>
      <w:r w:rsidR="001E70D1" w:rsidRPr="00A72F2D">
        <w:rPr>
          <w:rFonts w:ascii="Times New Roman" w:hAnsi="Times New Roman" w:cs="Times New Roman"/>
          <w:sz w:val="26"/>
          <w:szCs w:val="26"/>
        </w:rPr>
        <w:t xml:space="preserve"> </w:t>
      </w:r>
      <w:r w:rsidR="003E6BAB" w:rsidRPr="00A72F2D">
        <w:rPr>
          <w:rFonts w:ascii="Times New Roman" w:hAnsi="Times New Roman" w:cs="Times New Roman"/>
          <w:sz w:val="26"/>
          <w:szCs w:val="26"/>
        </w:rPr>
        <w:t xml:space="preserve"> </w:t>
      </w:r>
      <w:r w:rsidR="00EC22E4" w:rsidRPr="00A72F2D">
        <w:rPr>
          <w:rFonts w:ascii="Times New Roman" w:hAnsi="Times New Roman" w:cs="Times New Roman"/>
          <w:sz w:val="26"/>
          <w:szCs w:val="26"/>
        </w:rPr>
        <w:t xml:space="preserve">Other </w:t>
      </w:r>
      <w:r w:rsidR="00383F92" w:rsidRPr="00A72F2D">
        <w:rPr>
          <w:rFonts w:ascii="Times New Roman" w:hAnsi="Times New Roman" w:cs="Times New Roman"/>
          <w:sz w:val="26"/>
          <w:szCs w:val="26"/>
        </w:rPr>
        <w:t>c</w:t>
      </w:r>
      <w:r w:rsidR="00EC22E4" w:rsidRPr="00A72F2D">
        <w:rPr>
          <w:rFonts w:ascii="Times New Roman" w:hAnsi="Times New Roman" w:cs="Times New Roman"/>
          <w:sz w:val="26"/>
          <w:szCs w:val="26"/>
        </w:rPr>
        <w:t xml:space="preserve">ircuits have held the same.  </w:t>
      </w:r>
      <w:r w:rsidR="00EC22E4" w:rsidRPr="00A72F2D">
        <w:rPr>
          <w:rFonts w:ascii="Times New Roman" w:hAnsi="Times New Roman" w:cs="Times New Roman"/>
          <w:i/>
          <w:sz w:val="26"/>
          <w:szCs w:val="26"/>
        </w:rPr>
        <w:t>See, e.g.</w:t>
      </w:r>
      <w:r w:rsidR="00EC22E4" w:rsidRPr="00A72F2D">
        <w:rPr>
          <w:rFonts w:ascii="Times New Roman" w:hAnsi="Times New Roman" w:cs="Times New Roman"/>
          <w:sz w:val="26"/>
          <w:szCs w:val="26"/>
        </w:rPr>
        <w:t xml:space="preserve">, </w:t>
      </w:r>
      <w:r w:rsidR="00A00D8F" w:rsidRPr="00A72F2D">
        <w:rPr>
          <w:rFonts w:ascii="Times New Roman" w:hAnsi="Times New Roman" w:cs="Times New Roman"/>
          <w:i/>
          <w:sz w:val="26"/>
          <w:szCs w:val="26"/>
        </w:rPr>
        <w:t>United States v. Abbey</w:t>
      </w:r>
      <w:r w:rsidR="00A00D8F" w:rsidRPr="00A72F2D">
        <w:rPr>
          <w:rFonts w:ascii="Times New Roman" w:hAnsi="Times New Roman" w:cs="Times New Roman"/>
          <w:sz w:val="26"/>
          <w:szCs w:val="26"/>
        </w:rPr>
        <w:t xml:space="preserve">, 560 F.3d 513, </w:t>
      </w:r>
      <w:r w:rsidR="00B9276F" w:rsidRPr="00A72F2D">
        <w:rPr>
          <w:rFonts w:ascii="Times New Roman" w:hAnsi="Times New Roman" w:cs="Times New Roman"/>
          <w:sz w:val="26"/>
          <w:szCs w:val="26"/>
        </w:rPr>
        <w:t>520 (6th Cir.</w:t>
      </w:r>
      <w:r w:rsidR="00B44000" w:rsidRPr="00A72F2D">
        <w:rPr>
          <w:rFonts w:ascii="Times New Roman" w:hAnsi="Times New Roman" w:cs="Times New Roman"/>
          <w:sz w:val="26"/>
          <w:szCs w:val="26"/>
        </w:rPr>
        <w:t xml:space="preserve"> 2009</w:t>
      </w:r>
      <w:r w:rsidR="00B9276F" w:rsidRPr="00A72F2D">
        <w:rPr>
          <w:rFonts w:ascii="Times New Roman" w:hAnsi="Times New Roman" w:cs="Times New Roman"/>
          <w:sz w:val="26"/>
          <w:szCs w:val="26"/>
        </w:rPr>
        <w:t>)</w:t>
      </w:r>
      <w:r w:rsidR="00B44000" w:rsidRPr="00A72F2D">
        <w:rPr>
          <w:rFonts w:ascii="Times New Roman" w:hAnsi="Times New Roman" w:cs="Times New Roman"/>
          <w:sz w:val="26"/>
          <w:szCs w:val="26"/>
        </w:rPr>
        <w:t xml:space="preserve"> </w:t>
      </w:r>
      <w:r w:rsidR="00B9276F" w:rsidRPr="00A72F2D">
        <w:rPr>
          <w:rFonts w:ascii="Times New Roman" w:hAnsi="Times New Roman" w:cs="Times New Roman"/>
          <w:sz w:val="26"/>
          <w:szCs w:val="26"/>
        </w:rPr>
        <w:t xml:space="preserve">(stating </w:t>
      </w:r>
      <w:r w:rsidR="00687262" w:rsidRPr="00A72F2D">
        <w:rPr>
          <w:rFonts w:ascii="Times New Roman" w:hAnsi="Times New Roman" w:cs="Times New Roman"/>
          <w:sz w:val="26"/>
          <w:szCs w:val="26"/>
        </w:rPr>
        <w:t xml:space="preserve">that </w:t>
      </w:r>
      <w:r w:rsidR="00B9276F" w:rsidRPr="00A72F2D">
        <w:rPr>
          <w:rFonts w:ascii="Times New Roman" w:hAnsi="Times New Roman" w:cs="Times New Roman"/>
          <w:sz w:val="26"/>
          <w:szCs w:val="26"/>
        </w:rPr>
        <w:t xml:space="preserve">“the text says nothing of a quid pro quo requirement to sustain a conviction” and “while a </w:t>
      </w:r>
      <w:r w:rsidR="00B9276F" w:rsidRPr="00A72F2D">
        <w:rPr>
          <w:rFonts w:ascii="Times New Roman" w:hAnsi="Times New Roman" w:cs="Times New Roman"/>
          <w:i/>
          <w:sz w:val="26"/>
          <w:szCs w:val="26"/>
        </w:rPr>
        <w:t xml:space="preserve">quid pro quo </w:t>
      </w:r>
      <w:r w:rsidR="00B9276F" w:rsidRPr="00A72F2D">
        <w:rPr>
          <w:rFonts w:ascii="Times New Roman" w:hAnsi="Times New Roman" w:cs="Times New Roman"/>
          <w:sz w:val="26"/>
          <w:szCs w:val="26"/>
        </w:rPr>
        <w:t xml:space="preserve">of money for a specific </w:t>
      </w:r>
      <w:r w:rsidR="005B5CD8" w:rsidRPr="00A72F2D">
        <w:rPr>
          <w:rFonts w:ascii="Times New Roman" w:hAnsi="Times New Roman" w:cs="Times New Roman"/>
          <w:sz w:val="26"/>
          <w:szCs w:val="26"/>
        </w:rPr>
        <w:t>[</w:t>
      </w:r>
      <w:r w:rsidR="00B9276F" w:rsidRPr="00A72F2D">
        <w:rPr>
          <w:rFonts w:ascii="Times New Roman" w:hAnsi="Times New Roman" w:cs="Times New Roman"/>
          <w:sz w:val="26"/>
          <w:szCs w:val="26"/>
        </w:rPr>
        <w:t>legislative</w:t>
      </w:r>
      <w:r w:rsidR="005B5CD8" w:rsidRPr="00A72F2D">
        <w:rPr>
          <w:rFonts w:ascii="Times New Roman" w:hAnsi="Times New Roman" w:cs="Times New Roman"/>
          <w:sz w:val="26"/>
          <w:szCs w:val="26"/>
        </w:rPr>
        <w:t>]</w:t>
      </w:r>
      <w:r w:rsidR="00B9276F" w:rsidRPr="00A72F2D">
        <w:rPr>
          <w:rFonts w:ascii="Times New Roman" w:hAnsi="Times New Roman" w:cs="Times New Roman"/>
          <w:sz w:val="26"/>
          <w:szCs w:val="26"/>
        </w:rPr>
        <w:t xml:space="preserve"> act is sufficient to violate [§ 666</w:t>
      </w:r>
      <w:r w:rsidR="00564CCC">
        <w:rPr>
          <w:rFonts w:ascii="Times New Roman" w:hAnsi="Times New Roman" w:cs="Times New Roman"/>
          <w:sz w:val="26"/>
          <w:szCs w:val="26"/>
        </w:rPr>
        <w:t>(a)(1)</w:t>
      </w:r>
      <w:r w:rsidR="00B9276F" w:rsidRPr="00A72F2D">
        <w:rPr>
          <w:rFonts w:ascii="Times New Roman" w:hAnsi="Times New Roman" w:cs="Times New Roman"/>
          <w:sz w:val="26"/>
          <w:szCs w:val="26"/>
        </w:rPr>
        <w:t>(B) or</w:t>
      </w:r>
      <w:r w:rsidR="00564CCC">
        <w:rPr>
          <w:rFonts w:ascii="Times New Roman" w:hAnsi="Times New Roman" w:cs="Times New Roman"/>
          <w:sz w:val="26"/>
          <w:szCs w:val="26"/>
        </w:rPr>
        <w:t xml:space="preserve"> (a)(2)</w:t>
      </w:r>
      <w:r w:rsidR="00B9276F" w:rsidRPr="00A72F2D">
        <w:rPr>
          <w:rFonts w:ascii="Times New Roman" w:hAnsi="Times New Roman" w:cs="Times New Roman"/>
          <w:sz w:val="26"/>
          <w:szCs w:val="26"/>
        </w:rPr>
        <w:t>], it is not necessary”) (</w:t>
      </w:r>
      <w:r w:rsidR="000E43E9" w:rsidRPr="00A72F2D">
        <w:rPr>
          <w:rFonts w:ascii="Times New Roman" w:hAnsi="Times New Roman" w:cs="Times New Roman"/>
          <w:sz w:val="26"/>
          <w:szCs w:val="26"/>
        </w:rPr>
        <w:t xml:space="preserve">internal </w:t>
      </w:r>
      <w:r w:rsidR="00B9276F" w:rsidRPr="00A72F2D">
        <w:rPr>
          <w:rFonts w:ascii="Times New Roman" w:hAnsi="Times New Roman" w:cs="Times New Roman"/>
          <w:sz w:val="26"/>
          <w:szCs w:val="26"/>
        </w:rPr>
        <w:t xml:space="preserve">quotation marks omitted); </w:t>
      </w:r>
      <w:r w:rsidR="00B9276F" w:rsidRPr="00A72F2D">
        <w:rPr>
          <w:rFonts w:ascii="Times New Roman" w:hAnsi="Times New Roman" w:cs="Times New Roman"/>
          <w:i/>
          <w:sz w:val="26"/>
          <w:szCs w:val="26"/>
        </w:rPr>
        <w:t>United States v. Gee</w:t>
      </w:r>
      <w:r w:rsidR="00B9276F" w:rsidRPr="00A72F2D">
        <w:rPr>
          <w:rFonts w:ascii="Times New Roman" w:hAnsi="Times New Roman" w:cs="Times New Roman"/>
          <w:sz w:val="26"/>
          <w:szCs w:val="26"/>
        </w:rPr>
        <w:t>, 432 F.3d 713, 714</w:t>
      </w:r>
      <w:r w:rsidR="0020031B" w:rsidRPr="00A72F2D">
        <w:rPr>
          <w:rFonts w:ascii="Times New Roman" w:hAnsi="Times New Roman" w:cs="Times New Roman"/>
          <w:sz w:val="26"/>
          <w:szCs w:val="26"/>
        </w:rPr>
        <w:t>-15</w:t>
      </w:r>
      <w:r w:rsidR="00B9276F" w:rsidRPr="00A72F2D">
        <w:rPr>
          <w:rFonts w:ascii="Times New Roman" w:hAnsi="Times New Roman" w:cs="Times New Roman"/>
          <w:sz w:val="26"/>
          <w:szCs w:val="26"/>
        </w:rPr>
        <w:t xml:space="preserve"> (7th Cir. 2005) (holding that “[a] </w:t>
      </w:r>
      <w:r w:rsidR="00B9276F" w:rsidRPr="00A72F2D">
        <w:rPr>
          <w:rFonts w:ascii="Times New Roman" w:hAnsi="Times New Roman" w:cs="Times New Roman"/>
          <w:i/>
          <w:sz w:val="26"/>
          <w:szCs w:val="26"/>
        </w:rPr>
        <w:t xml:space="preserve">quid pro quo </w:t>
      </w:r>
      <w:r w:rsidR="00B9276F" w:rsidRPr="00A72F2D">
        <w:rPr>
          <w:rFonts w:ascii="Times New Roman" w:hAnsi="Times New Roman" w:cs="Times New Roman"/>
          <w:sz w:val="26"/>
          <w:szCs w:val="26"/>
        </w:rPr>
        <w:t>of money for a specific legislative act” is not necessary under § 666</w:t>
      </w:r>
      <w:r w:rsidR="00564CCC">
        <w:rPr>
          <w:rFonts w:ascii="Times New Roman" w:hAnsi="Times New Roman" w:cs="Times New Roman"/>
          <w:sz w:val="26"/>
          <w:szCs w:val="26"/>
        </w:rPr>
        <w:t>(a)(1)</w:t>
      </w:r>
      <w:r w:rsidR="00B9276F" w:rsidRPr="00A72F2D">
        <w:rPr>
          <w:rFonts w:ascii="Times New Roman" w:hAnsi="Times New Roman" w:cs="Times New Roman"/>
          <w:sz w:val="26"/>
          <w:szCs w:val="26"/>
        </w:rPr>
        <w:t>(B) and that an exchange of money for the official’s “influence” was enough”).</w:t>
      </w:r>
    </w:p>
    <w:p w14:paraId="2B206066" w14:textId="2B3BA07E" w:rsidR="00E30C8F" w:rsidRPr="00A72F2D" w:rsidRDefault="006A3A23" w:rsidP="00392F9B">
      <w:pPr>
        <w:pStyle w:val="NoSpacing"/>
        <w:spacing w:after="200"/>
        <w:jc w:val="both"/>
        <w:rPr>
          <w:rFonts w:ascii="Times New Roman" w:hAnsi="Times New Roman" w:cs="Times New Roman"/>
          <w:sz w:val="26"/>
          <w:szCs w:val="26"/>
        </w:rPr>
      </w:pPr>
      <w:r w:rsidRPr="00A72F2D">
        <w:rPr>
          <w:rFonts w:ascii="Times New Roman" w:hAnsi="Times New Roman" w:cs="Times New Roman"/>
          <w:sz w:val="26"/>
          <w:szCs w:val="26"/>
        </w:rPr>
        <w:t>However, defendants have</w:t>
      </w:r>
      <w:r w:rsidR="00480431" w:rsidRPr="00A72F2D">
        <w:rPr>
          <w:rFonts w:ascii="Times New Roman" w:hAnsi="Times New Roman" w:cs="Times New Roman"/>
          <w:sz w:val="26"/>
          <w:szCs w:val="26"/>
        </w:rPr>
        <w:t xml:space="preserve"> argued </w:t>
      </w:r>
      <w:r w:rsidR="00C35E4E" w:rsidRPr="00A72F2D">
        <w:rPr>
          <w:rFonts w:ascii="Times New Roman" w:hAnsi="Times New Roman" w:cs="Times New Roman"/>
          <w:sz w:val="26"/>
          <w:szCs w:val="26"/>
        </w:rPr>
        <w:t>that the Supreme Court’s reasoning in</w:t>
      </w:r>
      <w:r w:rsidR="00DE5F9B" w:rsidRPr="00A72F2D">
        <w:rPr>
          <w:rFonts w:ascii="Times New Roman" w:hAnsi="Times New Roman" w:cs="Times New Roman"/>
          <w:sz w:val="26"/>
          <w:szCs w:val="26"/>
        </w:rPr>
        <w:t xml:space="preserve"> </w:t>
      </w:r>
      <w:r w:rsidR="00132A98" w:rsidRPr="00A72F2D">
        <w:rPr>
          <w:rFonts w:ascii="Times New Roman" w:hAnsi="Times New Roman" w:cs="Times New Roman"/>
          <w:i/>
          <w:sz w:val="26"/>
          <w:szCs w:val="26"/>
        </w:rPr>
        <w:t>McDonnell v. United States</w:t>
      </w:r>
      <w:r w:rsidR="00DE5F9B" w:rsidRPr="00A72F2D">
        <w:rPr>
          <w:rFonts w:ascii="Times New Roman" w:hAnsi="Times New Roman" w:cs="Times New Roman"/>
          <w:sz w:val="26"/>
          <w:szCs w:val="26"/>
        </w:rPr>
        <w:t xml:space="preserve">, </w:t>
      </w:r>
      <w:r w:rsidR="00571E41" w:rsidRPr="00A72F2D">
        <w:rPr>
          <w:rFonts w:ascii="Times New Roman" w:hAnsi="Times New Roman" w:cs="Times New Roman"/>
          <w:sz w:val="26"/>
          <w:szCs w:val="26"/>
        </w:rPr>
        <w:t xml:space="preserve">136 S. Ct. 2355 (2016), </w:t>
      </w:r>
      <w:r w:rsidR="007E6A4C" w:rsidRPr="00A72F2D">
        <w:rPr>
          <w:rFonts w:ascii="Times New Roman" w:hAnsi="Times New Roman" w:cs="Times New Roman"/>
          <w:sz w:val="26"/>
          <w:szCs w:val="26"/>
        </w:rPr>
        <w:t xml:space="preserve">which concerned </w:t>
      </w:r>
      <w:r w:rsidR="00571E41" w:rsidRPr="00A72F2D">
        <w:rPr>
          <w:rFonts w:ascii="Times New Roman" w:hAnsi="Times New Roman" w:cs="Times New Roman"/>
          <w:sz w:val="26"/>
          <w:szCs w:val="26"/>
        </w:rPr>
        <w:t xml:space="preserve">an 18 U.S.C. § 201 bribery prosecution, should apply to a § 666 bribery prosecution.  </w:t>
      </w:r>
      <w:r w:rsidR="002D5B9C" w:rsidRPr="00A72F2D">
        <w:rPr>
          <w:rFonts w:ascii="Times New Roman" w:hAnsi="Times New Roman" w:cs="Times New Roman"/>
          <w:sz w:val="26"/>
          <w:szCs w:val="26"/>
        </w:rPr>
        <w:t xml:space="preserve">Section 201, in relevant part, addresses bribes </w:t>
      </w:r>
      <w:r w:rsidR="006C0CFC" w:rsidRPr="00A72F2D">
        <w:rPr>
          <w:rFonts w:ascii="Times New Roman" w:hAnsi="Times New Roman" w:cs="Times New Roman"/>
          <w:sz w:val="26"/>
          <w:szCs w:val="26"/>
        </w:rPr>
        <w:t>given or received to influence an “official act” or “in return for” an “official act.”</w:t>
      </w:r>
      <w:r w:rsidR="00C84895" w:rsidRPr="00A72F2D">
        <w:rPr>
          <w:rFonts w:ascii="Times New Roman" w:hAnsi="Times New Roman" w:cs="Times New Roman"/>
          <w:sz w:val="26"/>
          <w:szCs w:val="26"/>
        </w:rPr>
        <w:t xml:space="preserve">  </w:t>
      </w:r>
      <w:r w:rsidR="009A09E7" w:rsidRPr="00A72F2D">
        <w:rPr>
          <w:rFonts w:ascii="Times New Roman" w:hAnsi="Times New Roman" w:cs="Times New Roman"/>
          <w:sz w:val="26"/>
          <w:szCs w:val="26"/>
        </w:rPr>
        <w:t xml:space="preserve">In </w:t>
      </w:r>
      <w:r w:rsidR="009A09E7" w:rsidRPr="00A72F2D">
        <w:rPr>
          <w:rFonts w:ascii="Times New Roman" w:hAnsi="Times New Roman" w:cs="Times New Roman"/>
          <w:i/>
          <w:sz w:val="26"/>
          <w:szCs w:val="26"/>
        </w:rPr>
        <w:t>McDonnell</w:t>
      </w:r>
      <w:r w:rsidR="009A09E7" w:rsidRPr="00A72F2D">
        <w:rPr>
          <w:rFonts w:ascii="Times New Roman" w:hAnsi="Times New Roman" w:cs="Times New Roman"/>
          <w:sz w:val="26"/>
          <w:szCs w:val="26"/>
        </w:rPr>
        <w:t>, the Supreme Court held that district courts should clearly define the type of conduct that constitutes official acts in § 201 prosecutions.</w:t>
      </w:r>
    </w:p>
    <w:p w14:paraId="603F5116" w14:textId="33D404AF" w:rsidR="00FA391C" w:rsidRPr="00A72F2D" w:rsidRDefault="009A09E7" w:rsidP="00392F9B">
      <w:pPr>
        <w:pStyle w:val="NoSpacing"/>
        <w:spacing w:after="200"/>
        <w:jc w:val="both"/>
        <w:rPr>
          <w:rFonts w:ascii="Times New Roman" w:hAnsi="Times New Roman" w:cs="Times New Roman"/>
          <w:sz w:val="26"/>
          <w:szCs w:val="26"/>
        </w:rPr>
      </w:pPr>
      <w:r w:rsidRPr="00A72F2D">
        <w:rPr>
          <w:rFonts w:ascii="Times New Roman" w:hAnsi="Times New Roman" w:cs="Times New Roman"/>
          <w:sz w:val="26"/>
          <w:szCs w:val="26"/>
        </w:rPr>
        <w:t>T</w:t>
      </w:r>
      <w:r w:rsidR="00C84895" w:rsidRPr="00A72F2D">
        <w:rPr>
          <w:rFonts w:ascii="Times New Roman" w:hAnsi="Times New Roman" w:cs="Times New Roman"/>
          <w:sz w:val="26"/>
          <w:szCs w:val="26"/>
        </w:rPr>
        <w:t xml:space="preserve">he Eleventh Circuit has not addressed </w:t>
      </w:r>
      <w:r w:rsidR="0075269F" w:rsidRPr="00A72F2D">
        <w:rPr>
          <w:rFonts w:ascii="Times New Roman" w:hAnsi="Times New Roman" w:cs="Times New Roman"/>
          <w:sz w:val="26"/>
          <w:szCs w:val="26"/>
        </w:rPr>
        <w:t xml:space="preserve">in a reported decision </w:t>
      </w:r>
      <w:r w:rsidR="00C84895" w:rsidRPr="00A72F2D">
        <w:rPr>
          <w:rFonts w:ascii="Times New Roman" w:hAnsi="Times New Roman" w:cs="Times New Roman"/>
          <w:sz w:val="26"/>
          <w:szCs w:val="26"/>
        </w:rPr>
        <w:t xml:space="preserve">whether </w:t>
      </w:r>
      <w:r w:rsidR="00C84895" w:rsidRPr="00A72F2D">
        <w:rPr>
          <w:rFonts w:ascii="Times New Roman" w:hAnsi="Times New Roman" w:cs="Times New Roman"/>
          <w:i/>
          <w:sz w:val="26"/>
          <w:szCs w:val="26"/>
        </w:rPr>
        <w:t>McDonnell</w:t>
      </w:r>
      <w:r w:rsidR="00C84895" w:rsidRPr="00A72F2D">
        <w:rPr>
          <w:rFonts w:ascii="Times New Roman" w:hAnsi="Times New Roman" w:cs="Times New Roman"/>
          <w:sz w:val="26"/>
          <w:szCs w:val="26"/>
        </w:rPr>
        <w:t xml:space="preserve"> </w:t>
      </w:r>
      <w:r w:rsidR="0075269F" w:rsidRPr="00A72F2D">
        <w:rPr>
          <w:rFonts w:ascii="Times New Roman" w:hAnsi="Times New Roman" w:cs="Times New Roman"/>
          <w:sz w:val="26"/>
          <w:szCs w:val="26"/>
        </w:rPr>
        <w:t>applies to</w:t>
      </w:r>
      <w:r w:rsidR="00C84895" w:rsidRPr="00A72F2D">
        <w:rPr>
          <w:rFonts w:ascii="Times New Roman" w:hAnsi="Times New Roman" w:cs="Times New Roman"/>
          <w:sz w:val="26"/>
          <w:szCs w:val="26"/>
        </w:rPr>
        <w:t xml:space="preserve"> § 666</w:t>
      </w:r>
      <w:r w:rsidR="00BD4B82" w:rsidRPr="00A72F2D">
        <w:rPr>
          <w:rFonts w:ascii="Times New Roman" w:hAnsi="Times New Roman" w:cs="Times New Roman"/>
          <w:sz w:val="26"/>
          <w:szCs w:val="26"/>
        </w:rPr>
        <w:t xml:space="preserve">, </w:t>
      </w:r>
      <w:r w:rsidR="0075269F" w:rsidRPr="00A72F2D">
        <w:rPr>
          <w:rFonts w:ascii="Times New Roman" w:hAnsi="Times New Roman" w:cs="Times New Roman"/>
          <w:sz w:val="26"/>
          <w:szCs w:val="26"/>
        </w:rPr>
        <w:t>b</w:t>
      </w:r>
      <w:r w:rsidR="00C84895" w:rsidRPr="00A72F2D">
        <w:rPr>
          <w:rFonts w:ascii="Times New Roman" w:hAnsi="Times New Roman" w:cs="Times New Roman"/>
          <w:sz w:val="26"/>
          <w:szCs w:val="26"/>
        </w:rPr>
        <w:t xml:space="preserve">ut </w:t>
      </w:r>
      <w:r w:rsidR="000B4FEA" w:rsidRPr="00A72F2D">
        <w:rPr>
          <w:rFonts w:ascii="Times New Roman" w:hAnsi="Times New Roman" w:cs="Times New Roman"/>
          <w:sz w:val="26"/>
          <w:szCs w:val="26"/>
        </w:rPr>
        <w:t xml:space="preserve">other </w:t>
      </w:r>
      <w:r w:rsidR="000D613D" w:rsidRPr="00A72F2D">
        <w:rPr>
          <w:rFonts w:ascii="Times New Roman" w:hAnsi="Times New Roman" w:cs="Times New Roman"/>
          <w:sz w:val="26"/>
          <w:szCs w:val="26"/>
        </w:rPr>
        <w:t>c</w:t>
      </w:r>
      <w:r w:rsidR="000B4FEA" w:rsidRPr="00A72F2D">
        <w:rPr>
          <w:rFonts w:ascii="Times New Roman" w:hAnsi="Times New Roman" w:cs="Times New Roman"/>
          <w:sz w:val="26"/>
          <w:szCs w:val="26"/>
        </w:rPr>
        <w:t xml:space="preserve">ircuits </w:t>
      </w:r>
      <w:r w:rsidR="0075269F" w:rsidRPr="00A72F2D">
        <w:rPr>
          <w:rFonts w:ascii="Times New Roman" w:hAnsi="Times New Roman" w:cs="Times New Roman"/>
          <w:sz w:val="26"/>
          <w:szCs w:val="26"/>
        </w:rPr>
        <w:t>have held that it does not</w:t>
      </w:r>
      <w:r w:rsidR="0062683A" w:rsidRPr="00A72F2D">
        <w:rPr>
          <w:rFonts w:ascii="Times New Roman" w:hAnsi="Times New Roman" w:cs="Times New Roman"/>
          <w:sz w:val="26"/>
          <w:szCs w:val="26"/>
        </w:rPr>
        <w:t>.</w:t>
      </w:r>
      <w:r w:rsidR="005B32D2" w:rsidRPr="00A72F2D">
        <w:rPr>
          <w:rFonts w:ascii="Times New Roman" w:hAnsi="Times New Roman" w:cs="Times New Roman"/>
          <w:sz w:val="26"/>
          <w:szCs w:val="26"/>
        </w:rPr>
        <w:t xml:space="preserve">  </w:t>
      </w:r>
      <w:r w:rsidR="004C575A" w:rsidRPr="00A72F2D">
        <w:rPr>
          <w:rFonts w:ascii="Times New Roman" w:hAnsi="Times New Roman" w:cs="Times New Roman"/>
          <w:i/>
          <w:sz w:val="26"/>
          <w:szCs w:val="26"/>
        </w:rPr>
        <w:t>See, e.g.</w:t>
      </w:r>
      <w:r w:rsidR="004C575A" w:rsidRPr="00A72F2D">
        <w:rPr>
          <w:rFonts w:ascii="Times New Roman" w:hAnsi="Times New Roman" w:cs="Times New Roman"/>
          <w:sz w:val="26"/>
          <w:szCs w:val="26"/>
        </w:rPr>
        <w:t xml:space="preserve">, </w:t>
      </w:r>
      <w:r w:rsidR="004C575A" w:rsidRPr="00A72F2D">
        <w:rPr>
          <w:rFonts w:ascii="Times New Roman" w:hAnsi="Times New Roman" w:cs="Times New Roman"/>
          <w:i/>
          <w:sz w:val="26"/>
          <w:szCs w:val="26"/>
        </w:rPr>
        <w:t>United States v. Suhl</w:t>
      </w:r>
      <w:r w:rsidR="004C575A" w:rsidRPr="00A72F2D">
        <w:rPr>
          <w:rFonts w:ascii="Times New Roman" w:hAnsi="Times New Roman" w:cs="Times New Roman"/>
          <w:sz w:val="26"/>
          <w:szCs w:val="26"/>
        </w:rPr>
        <w:t>, 885 F.3d 1106, 1112 (8th Cir. 2018)</w:t>
      </w:r>
      <w:r w:rsidR="00F27A9A" w:rsidRPr="00A72F2D">
        <w:rPr>
          <w:rFonts w:ascii="Times New Roman" w:hAnsi="Times New Roman" w:cs="Times New Roman"/>
          <w:sz w:val="26"/>
          <w:szCs w:val="26"/>
        </w:rPr>
        <w:t xml:space="preserve"> (</w:t>
      </w:r>
      <w:r w:rsidR="001931B8" w:rsidRPr="00A72F2D">
        <w:rPr>
          <w:rFonts w:ascii="Times New Roman" w:hAnsi="Times New Roman" w:cs="Times New Roman"/>
          <w:sz w:val="26"/>
          <w:szCs w:val="26"/>
        </w:rPr>
        <w:t>“</w:t>
      </w:r>
      <w:r w:rsidR="00F27A9A" w:rsidRPr="00A72F2D">
        <w:rPr>
          <w:rFonts w:ascii="Times New Roman" w:hAnsi="Times New Roman" w:cs="Times New Roman"/>
          <w:sz w:val="26"/>
          <w:szCs w:val="26"/>
        </w:rPr>
        <w:t xml:space="preserve">Suhl asks us to apply </w:t>
      </w:r>
      <w:r w:rsidR="00F27A9A" w:rsidRPr="00A72F2D">
        <w:rPr>
          <w:rFonts w:ascii="Times New Roman" w:hAnsi="Times New Roman" w:cs="Times New Roman"/>
          <w:i/>
          <w:sz w:val="26"/>
          <w:szCs w:val="26"/>
        </w:rPr>
        <w:t>McDonnell</w:t>
      </w:r>
      <w:r w:rsidR="00F27A9A" w:rsidRPr="00A72F2D">
        <w:rPr>
          <w:rFonts w:ascii="Times New Roman" w:hAnsi="Times New Roman" w:cs="Times New Roman"/>
          <w:sz w:val="26"/>
          <w:szCs w:val="26"/>
        </w:rPr>
        <w:t xml:space="preserve"> to both honest-services </w:t>
      </w:r>
      <w:r w:rsidR="00F27A9A" w:rsidRPr="00A72F2D">
        <w:rPr>
          <w:rFonts w:ascii="Times New Roman" w:hAnsi="Times New Roman" w:cs="Times New Roman"/>
          <w:sz w:val="26"/>
          <w:szCs w:val="26"/>
        </w:rPr>
        <w:lastRenderedPageBreak/>
        <w:t xml:space="preserve">and federal-funds bribery. </w:t>
      </w:r>
      <w:r w:rsidR="00F27A9A" w:rsidRPr="00A72F2D">
        <w:rPr>
          <w:rFonts w:ascii="Times New Roman" w:hAnsi="Times New Roman" w:cs="Times New Roman"/>
          <w:i/>
          <w:sz w:val="26"/>
          <w:szCs w:val="26"/>
        </w:rPr>
        <w:t>McDonnell</w:t>
      </w:r>
      <w:r w:rsidR="00F27A9A" w:rsidRPr="00A72F2D">
        <w:rPr>
          <w:rFonts w:ascii="Times New Roman" w:hAnsi="Times New Roman" w:cs="Times New Roman"/>
          <w:sz w:val="26"/>
          <w:szCs w:val="26"/>
        </w:rPr>
        <w:t xml:space="preserve"> interpreted the term </w:t>
      </w:r>
      <w:r w:rsidR="00DF58E4" w:rsidRPr="00A72F2D">
        <w:rPr>
          <w:rFonts w:ascii="Times New Roman" w:hAnsi="Times New Roman" w:cs="Times New Roman"/>
          <w:sz w:val="26"/>
          <w:szCs w:val="26"/>
        </w:rPr>
        <w:t>‘</w:t>
      </w:r>
      <w:r w:rsidR="00F27A9A" w:rsidRPr="00A72F2D">
        <w:rPr>
          <w:rFonts w:ascii="Times New Roman" w:hAnsi="Times New Roman" w:cs="Times New Roman"/>
          <w:sz w:val="26"/>
          <w:szCs w:val="26"/>
        </w:rPr>
        <w:t>official act</w:t>
      </w:r>
      <w:r w:rsidR="00DF58E4" w:rsidRPr="00A72F2D">
        <w:rPr>
          <w:rFonts w:ascii="Times New Roman" w:hAnsi="Times New Roman" w:cs="Times New Roman"/>
          <w:sz w:val="26"/>
          <w:szCs w:val="26"/>
        </w:rPr>
        <w:t>’</w:t>
      </w:r>
      <w:r w:rsidR="00F27A9A" w:rsidRPr="00A72F2D">
        <w:rPr>
          <w:rFonts w:ascii="Times New Roman" w:hAnsi="Times New Roman" w:cs="Times New Roman"/>
          <w:sz w:val="26"/>
          <w:szCs w:val="26"/>
        </w:rPr>
        <w:t xml:space="preserve"> in § 201, and the parties agree that § 201 also defines the elements of honest-services bribery. Section 666, however, does not include the term </w:t>
      </w:r>
      <w:r w:rsidR="001931B8" w:rsidRPr="00A72F2D">
        <w:rPr>
          <w:rFonts w:ascii="Times New Roman" w:hAnsi="Times New Roman" w:cs="Times New Roman"/>
          <w:sz w:val="26"/>
          <w:szCs w:val="26"/>
        </w:rPr>
        <w:t>‘</w:t>
      </w:r>
      <w:r w:rsidR="00F27A9A" w:rsidRPr="00A72F2D">
        <w:rPr>
          <w:rFonts w:ascii="Times New Roman" w:hAnsi="Times New Roman" w:cs="Times New Roman"/>
          <w:sz w:val="26"/>
          <w:szCs w:val="26"/>
        </w:rPr>
        <w:t>official act</w:t>
      </w:r>
      <w:r w:rsidR="001931B8" w:rsidRPr="00A72F2D">
        <w:rPr>
          <w:rFonts w:ascii="Times New Roman" w:hAnsi="Times New Roman" w:cs="Times New Roman"/>
          <w:sz w:val="26"/>
          <w:szCs w:val="26"/>
        </w:rPr>
        <w:t>.’”</w:t>
      </w:r>
      <w:r w:rsidR="00F27A9A" w:rsidRPr="00A72F2D">
        <w:rPr>
          <w:rFonts w:ascii="Times New Roman" w:hAnsi="Times New Roman" w:cs="Times New Roman"/>
          <w:sz w:val="26"/>
          <w:szCs w:val="26"/>
        </w:rPr>
        <w:t>)</w:t>
      </w:r>
      <w:r w:rsidR="004C575A" w:rsidRPr="00A72F2D">
        <w:rPr>
          <w:rFonts w:ascii="Times New Roman" w:hAnsi="Times New Roman" w:cs="Times New Roman"/>
          <w:sz w:val="26"/>
          <w:szCs w:val="26"/>
        </w:rPr>
        <w:t>;</w:t>
      </w:r>
      <w:r w:rsidR="001931B8" w:rsidRPr="00A72F2D">
        <w:rPr>
          <w:rFonts w:ascii="Times New Roman" w:hAnsi="Times New Roman" w:cs="Times New Roman"/>
          <w:sz w:val="26"/>
          <w:szCs w:val="26"/>
        </w:rPr>
        <w:t xml:space="preserve"> </w:t>
      </w:r>
      <w:r w:rsidR="008E1648" w:rsidRPr="00A72F2D">
        <w:rPr>
          <w:rFonts w:ascii="Times New Roman" w:hAnsi="Times New Roman" w:cs="Times New Roman"/>
          <w:i/>
          <w:sz w:val="26"/>
          <w:szCs w:val="26"/>
        </w:rPr>
        <w:t>United States v. Boyland</w:t>
      </w:r>
      <w:r w:rsidR="008E1648" w:rsidRPr="00A72F2D">
        <w:rPr>
          <w:rFonts w:ascii="Times New Roman" w:hAnsi="Times New Roman" w:cs="Times New Roman"/>
          <w:sz w:val="26"/>
          <w:szCs w:val="26"/>
        </w:rPr>
        <w:t xml:space="preserve">, 862 F.3d 279, 291 (2d Cir. 2017) (“We do not see that the </w:t>
      </w:r>
      <w:r w:rsidR="008E1648" w:rsidRPr="00A72F2D">
        <w:rPr>
          <w:rFonts w:ascii="Times New Roman" w:hAnsi="Times New Roman" w:cs="Times New Roman"/>
          <w:i/>
          <w:sz w:val="26"/>
          <w:szCs w:val="26"/>
        </w:rPr>
        <w:t xml:space="preserve">McDonnell </w:t>
      </w:r>
      <w:r w:rsidR="008E1648" w:rsidRPr="00A72F2D">
        <w:rPr>
          <w:rFonts w:ascii="Times New Roman" w:hAnsi="Times New Roman" w:cs="Times New Roman"/>
          <w:sz w:val="26"/>
          <w:szCs w:val="26"/>
        </w:rPr>
        <w:t xml:space="preserve">standard applied to these counts [under § 666].”); </w:t>
      </w:r>
      <w:r w:rsidR="003D454E" w:rsidRPr="00A72F2D">
        <w:rPr>
          <w:rFonts w:ascii="Times New Roman" w:hAnsi="Times New Roman" w:cs="Times New Roman"/>
          <w:i/>
          <w:sz w:val="26"/>
          <w:szCs w:val="26"/>
        </w:rPr>
        <w:t>United States v. Porter</w:t>
      </w:r>
      <w:r w:rsidR="003D454E" w:rsidRPr="00A72F2D">
        <w:rPr>
          <w:rFonts w:ascii="Times New Roman" w:hAnsi="Times New Roman" w:cs="Times New Roman"/>
          <w:sz w:val="26"/>
          <w:szCs w:val="26"/>
        </w:rPr>
        <w:t>, 886 F.3d 562, 565 (6th Cir. 2018) (</w:t>
      </w:r>
      <w:r w:rsidR="007E2D23" w:rsidRPr="00A72F2D">
        <w:rPr>
          <w:rFonts w:ascii="Times New Roman" w:hAnsi="Times New Roman" w:cs="Times New Roman"/>
          <w:sz w:val="26"/>
          <w:szCs w:val="26"/>
        </w:rPr>
        <w:t>“</w:t>
      </w:r>
      <w:r w:rsidR="006B6CF5" w:rsidRPr="00A72F2D">
        <w:rPr>
          <w:rFonts w:ascii="Times New Roman" w:hAnsi="Times New Roman" w:cs="Times New Roman"/>
          <w:sz w:val="26"/>
          <w:szCs w:val="26"/>
        </w:rPr>
        <w:t xml:space="preserve">Porter's reliance on </w:t>
      </w:r>
      <w:r w:rsidR="006B6CF5" w:rsidRPr="00A72F2D">
        <w:rPr>
          <w:rFonts w:ascii="Times New Roman" w:hAnsi="Times New Roman" w:cs="Times New Roman"/>
          <w:i/>
          <w:sz w:val="26"/>
          <w:szCs w:val="26"/>
        </w:rPr>
        <w:t>McDonnell</w:t>
      </w:r>
      <w:r w:rsidR="006B6CF5" w:rsidRPr="00A72F2D">
        <w:rPr>
          <w:rFonts w:ascii="Times New Roman" w:hAnsi="Times New Roman" w:cs="Times New Roman"/>
          <w:sz w:val="26"/>
          <w:szCs w:val="26"/>
        </w:rPr>
        <w:t xml:space="preserve"> is misplaced.  In </w:t>
      </w:r>
      <w:r w:rsidR="006B6CF5" w:rsidRPr="00A72F2D">
        <w:rPr>
          <w:rFonts w:ascii="Times New Roman" w:hAnsi="Times New Roman" w:cs="Times New Roman"/>
          <w:i/>
          <w:sz w:val="26"/>
          <w:szCs w:val="26"/>
        </w:rPr>
        <w:t>McDonnell</w:t>
      </w:r>
      <w:r w:rsidR="006B6CF5" w:rsidRPr="00A72F2D">
        <w:rPr>
          <w:rFonts w:ascii="Times New Roman" w:hAnsi="Times New Roman" w:cs="Times New Roman"/>
          <w:sz w:val="26"/>
          <w:szCs w:val="26"/>
        </w:rPr>
        <w:t xml:space="preserve">, the Supreme Court limited the interpretation of the term </w:t>
      </w:r>
      <w:r w:rsidR="000A77DC" w:rsidRPr="00A72F2D">
        <w:rPr>
          <w:rFonts w:ascii="Times New Roman" w:hAnsi="Times New Roman" w:cs="Times New Roman"/>
          <w:sz w:val="26"/>
          <w:szCs w:val="26"/>
        </w:rPr>
        <w:t>‘</w:t>
      </w:r>
      <w:r w:rsidR="006B6CF5" w:rsidRPr="00A72F2D">
        <w:rPr>
          <w:rFonts w:ascii="Times New Roman" w:hAnsi="Times New Roman" w:cs="Times New Roman"/>
          <w:sz w:val="26"/>
          <w:szCs w:val="26"/>
        </w:rPr>
        <w:t>official act</w:t>
      </w:r>
      <w:r w:rsidR="000A77DC" w:rsidRPr="00A72F2D">
        <w:rPr>
          <w:rFonts w:ascii="Times New Roman" w:hAnsi="Times New Roman" w:cs="Times New Roman"/>
          <w:sz w:val="26"/>
          <w:szCs w:val="26"/>
        </w:rPr>
        <w:t>’</w:t>
      </w:r>
      <w:r w:rsidR="006B6CF5" w:rsidRPr="00A72F2D">
        <w:rPr>
          <w:rFonts w:ascii="Times New Roman" w:hAnsi="Times New Roman" w:cs="Times New Roman"/>
          <w:sz w:val="26"/>
          <w:szCs w:val="26"/>
        </w:rPr>
        <w:t xml:space="preserve"> as it appears in § 201, an entirely different statute than the one at issue here.”).</w:t>
      </w:r>
    </w:p>
    <w:p w14:paraId="6E9982D6" w14:textId="6D868373" w:rsidR="00AD6965" w:rsidRPr="00A72F2D" w:rsidRDefault="00AD6965" w:rsidP="00392F9B">
      <w:pPr>
        <w:pStyle w:val="NoSpacing"/>
        <w:spacing w:after="200"/>
        <w:jc w:val="both"/>
        <w:rPr>
          <w:rFonts w:ascii="Times New Roman" w:hAnsi="Times New Roman" w:cs="Times New Roman"/>
          <w:sz w:val="26"/>
          <w:szCs w:val="26"/>
        </w:rPr>
      </w:pPr>
      <w:r w:rsidRPr="00A72F2D">
        <w:rPr>
          <w:rFonts w:ascii="Times New Roman" w:hAnsi="Times New Roman" w:cs="Times New Roman"/>
          <w:sz w:val="26"/>
          <w:szCs w:val="26"/>
        </w:rPr>
        <w:t xml:space="preserve">In </w:t>
      </w:r>
      <w:r w:rsidRPr="00A72F2D">
        <w:rPr>
          <w:rFonts w:ascii="Times New Roman" w:hAnsi="Times New Roman" w:cs="Times New Roman"/>
          <w:i/>
          <w:sz w:val="26"/>
          <w:szCs w:val="26"/>
        </w:rPr>
        <w:t>United States v. Fischer</w:t>
      </w:r>
      <w:r w:rsidRPr="00A72F2D">
        <w:rPr>
          <w:rFonts w:ascii="Times New Roman" w:hAnsi="Times New Roman" w:cs="Times New Roman"/>
          <w:sz w:val="26"/>
          <w:szCs w:val="26"/>
        </w:rPr>
        <w:t>, 168 F.3d 1273</w:t>
      </w:r>
      <w:r w:rsidR="00A53EFB" w:rsidRPr="00A72F2D">
        <w:rPr>
          <w:rFonts w:ascii="Times New Roman" w:hAnsi="Times New Roman" w:cs="Times New Roman"/>
          <w:sz w:val="26"/>
          <w:szCs w:val="26"/>
        </w:rPr>
        <w:t>, 1277 n.8</w:t>
      </w:r>
      <w:r w:rsidRPr="00A72F2D">
        <w:rPr>
          <w:rFonts w:ascii="Times New Roman" w:hAnsi="Times New Roman" w:cs="Times New Roman"/>
          <w:sz w:val="26"/>
          <w:szCs w:val="26"/>
        </w:rPr>
        <w:t xml:space="preserve"> (11th Cir. 1999), </w:t>
      </w:r>
      <w:r w:rsidRPr="00A72F2D">
        <w:rPr>
          <w:rFonts w:ascii="Times New Roman" w:hAnsi="Times New Roman" w:cs="Times New Roman"/>
          <w:i/>
          <w:sz w:val="26"/>
          <w:szCs w:val="26"/>
        </w:rPr>
        <w:t>aff’d.</w:t>
      </w:r>
      <w:r w:rsidRPr="00A72F2D">
        <w:rPr>
          <w:rFonts w:ascii="Times New Roman" w:hAnsi="Times New Roman" w:cs="Times New Roman"/>
          <w:sz w:val="26"/>
          <w:szCs w:val="26"/>
        </w:rPr>
        <w:t xml:space="preserve">, </w:t>
      </w:r>
      <w:r w:rsidRPr="00A72F2D">
        <w:rPr>
          <w:rFonts w:ascii="Times New Roman" w:hAnsi="Times New Roman" w:cs="Times New Roman"/>
          <w:i/>
          <w:sz w:val="26"/>
          <w:szCs w:val="26"/>
        </w:rPr>
        <w:t>Fischer v. United States</w:t>
      </w:r>
      <w:r w:rsidRPr="00A72F2D">
        <w:rPr>
          <w:rFonts w:ascii="Times New Roman" w:hAnsi="Times New Roman" w:cs="Times New Roman"/>
          <w:sz w:val="26"/>
          <w:szCs w:val="26"/>
        </w:rPr>
        <w:t>, 529 U.S. 667 (2000), the Court held that Medicare disbursements are “benefits” within the meaning of the statute, and that the Government is not required to prove a direct link between the federal assistance and the fraudulent conduct in issue.</w:t>
      </w:r>
    </w:p>
    <w:sectPr w:rsidR="00AD6965" w:rsidRPr="00A72F2D" w:rsidSect="005F5D80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906CE" w14:textId="77777777" w:rsidR="002D5B9C" w:rsidRDefault="002D5B9C" w:rsidP="005F5D80">
      <w:pPr>
        <w:spacing w:after="0" w:line="240" w:lineRule="auto"/>
      </w:pPr>
      <w:r>
        <w:separator/>
      </w:r>
    </w:p>
  </w:endnote>
  <w:endnote w:type="continuationSeparator" w:id="0">
    <w:p w14:paraId="4D339E95" w14:textId="77777777" w:rsidR="002D5B9C" w:rsidRDefault="002D5B9C" w:rsidP="005F5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8FD43" w14:textId="77777777" w:rsidR="002D5B9C" w:rsidRDefault="002D5B9C" w:rsidP="005F5D80">
      <w:pPr>
        <w:spacing w:after="0" w:line="240" w:lineRule="auto"/>
      </w:pPr>
      <w:r>
        <w:separator/>
      </w:r>
    </w:p>
  </w:footnote>
  <w:footnote w:type="continuationSeparator" w:id="0">
    <w:p w14:paraId="328E5512" w14:textId="77777777" w:rsidR="002D5B9C" w:rsidRDefault="002D5B9C" w:rsidP="005F5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26E98"/>
    <w:multiLevelType w:val="hybridMultilevel"/>
    <w:tmpl w:val="345AC7C2"/>
    <w:lvl w:ilvl="0" w:tplc="334A0BD4">
      <w:start w:val="4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6A1405"/>
    <w:multiLevelType w:val="hybridMultilevel"/>
    <w:tmpl w:val="57CC946A"/>
    <w:lvl w:ilvl="0" w:tplc="8FCE4B2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E02780"/>
    <w:multiLevelType w:val="hybridMultilevel"/>
    <w:tmpl w:val="9AE4831A"/>
    <w:lvl w:ilvl="0" w:tplc="538A4A8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EFF7157"/>
    <w:multiLevelType w:val="hybridMultilevel"/>
    <w:tmpl w:val="9126ED8E"/>
    <w:lvl w:ilvl="0" w:tplc="962A46E8">
      <w:start w:val="1"/>
      <w:numFmt w:val="lowerLetter"/>
      <w:lvlText w:val="(%1)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F3"/>
    <w:rsid w:val="00005C11"/>
    <w:rsid w:val="00013413"/>
    <w:rsid w:val="00015FE3"/>
    <w:rsid w:val="0004051C"/>
    <w:rsid w:val="00046E9D"/>
    <w:rsid w:val="00051FD0"/>
    <w:rsid w:val="0007471D"/>
    <w:rsid w:val="00081384"/>
    <w:rsid w:val="000860F3"/>
    <w:rsid w:val="00093AE2"/>
    <w:rsid w:val="0009490F"/>
    <w:rsid w:val="000A238A"/>
    <w:rsid w:val="000A77DC"/>
    <w:rsid w:val="000A7BFF"/>
    <w:rsid w:val="000B4FEA"/>
    <w:rsid w:val="000B7826"/>
    <w:rsid w:val="000C788B"/>
    <w:rsid w:val="000D613D"/>
    <w:rsid w:val="000E0E4B"/>
    <w:rsid w:val="000E35B7"/>
    <w:rsid w:val="000E43E9"/>
    <w:rsid w:val="000F00E7"/>
    <w:rsid w:val="00112B8D"/>
    <w:rsid w:val="00132A98"/>
    <w:rsid w:val="00145879"/>
    <w:rsid w:val="00160973"/>
    <w:rsid w:val="00164A94"/>
    <w:rsid w:val="0017161E"/>
    <w:rsid w:val="001764B2"/>
    <w:rsid w:val="00182F27"/>
    <w:rsid w:val="00183B21"/>
    <w:rsid w:val="001931B8"/>
    <w:rsid w:val="001A7E5D"/>
    <w:rsid w:val="001E70D1"/>
    <w:rsid w:val="0020031B"/>
    <w:rsid w:val="0021297B"/>
    <w:rsid w:val="00242D46"/>
    <w:rsid w:val="00260D59"/>
    <w:rsid w:val="002625E7"/>
    <w:rsid w:val="002723EA"/>
    <w:rsid w:val="00282003"/>
    <w:rsid w:val="00286EAF"/>
    <w:rsid w:val="00291BDD"/>
    <w:rsid w:val="0029784F"/>
    <w:rsid w:val="002C14BD"/>
    <w:rsid w:val="002D5B9C"/>
    <w:rsid w:val="002D773B"/>
    <w:rsid w:val="002E6FB9"/>
    <w:rsid w:val="0030403C"/>
    <w:rsid w:val="00311BD8"/>
    <w:rsid w:val="0032034C"/>
    <w:rsid w:val="00336856"/>
    <w:rsid w:val="003739E2"/>
    <w:rsid w:val="00383F92"/>
    <w:rsid w:val="00392F9B"/>
    <w:rsid w:val="003A2B86"/>
    <w:rsid w:val="003D454E"/>
    <w:rsid w:val="003E3D10"/>
    <w:rsid w:val="003E6BAB"/>
    <w:rsid w:val="003F2D89"/>
    <w:rsid w:val="0040001E"/>
    <w:rsid w:val="00404368"/>
    <w:rsid w:val="0041355A"/>
    <w:rsid w:val="004352FE"/>
    <w:rsid w:val="004553A5"/>
    <w:rsid w:val="00470816"/>
    <w:rsid w:val="00470ADF"/>
    <w:rsid w:val="004744DD"/>
    <w:rsid w:val="00480431"/>
    <w:rsid w:val="00483EE7"/>
    <w:rsid w:val="004C575A"/>
    <w:rsid w:val="004D0520"/>
    <w:rsid w:val="004D78AE"/>
    <w:rsid w:val="004F4FD6"/>
    <w:rsid w:val="00517859"/>
    <w:rsid w:val="00517A69"/>
    <w:rsid w:val="00522B79"/>
    <w:rsid w:val="00562482"/>
    <w:rsid w:val="005632A4"/>
    <w:rsid w:val="00564043"/>
    <w:rsid w:val="00564CCC"/>
    <w:rsid w:val="005709BE"/>
    <w:rsid w:val="00571E41"/>
    <w:rsid w:val="00582651"/>
    <w:rsid w:val="0058370B"/>
    <w:rsid w:val="00586EAE"/>
    <w:rsid w:val="00592162"/>
    <w:rsid w:val="00593581"/>
    <w:rsid w:val="005B32D2"/>
    <w:rsid w:val="005B5CD8"/>
    <w:rsid w:val="005D1DBF"/>
    <w:rsid w:val="005E3D91"/>
    <w:rsid w:val="005F3DFE"/>
    <w:rsid w:val="005F5D80"/>
    <w:rsid w:val="005F7A03"/>
    <w:rsid w:val="006143BC"/>
    <w:rsid w:val="0062168B"/>
    <w:rsid w:val="0062683A"/>
    <w:rsid w:val="006569B0"/>
    <w:rsid w:val="00676875"/>
    <w:rsid w:val="0067782D"/>
    <w:rsid w:val="00687262"/>
    <w:rsid w:val="00697531"/>
    <w:rsid w:val="00697EB9"/>
    <w:rsid w:val="006A3A23"/>
    <w:rsid w:val="006B6CF5"/>
    <w:rsid w:val="006B7B6F"/>
    <w:rsid w:val="006C0CFC"/>
    <w:rsid w:val="006C2C28"/>
    <w:rsid w:val="006D2843"/>
    <w:rsid w:val="006F58BF"/>
    <w:rsid w:val="007018FF"/>
    <w:rsid w:val="00701EC9"/>
    <w:rsid w:val="0070728C"/>
    <w:rsid w:val="00720DDC"/>
    <w:rsid w:val="00750D43"/>
    <w:rsid w:val="0075269F"/>
    <w:rsid w:val="007878A0"/>
    <w:rsid w:val="007B0549"/>
    <w:rsid w:val="007B08AB"/>
    <w:rsid w:val="007B156F"/>
    <w:rsid w:val="007B3CC3"/>
    <w:rsid w:val="007C1498"/>
    <w:rsid w:val="007E01F4"/>
    <w:rsid w:val="007E2D23"/>
    <w:rsid w:val="007E56B2"/>
    <w:rsid w:val="007E6A4C"/>
    <w:rsid w:val="0080171E"/>
    <w:rsid w:val="008145B4"/>
    <w:rsid w:val="00822EB4"/>
    <w:rsid w:val="0083743E"/>
    <w:rsid w:val="00850601"/>
    <w:rsid w:val="0085321F"/>
    <w:rsid w:val="008863E8"/>
    <w:rsid w:val="008979FB"/>
    <w:rsid w:val="008A708C"/>
    <w:rsid w:val="008B7202"/>
    <w:rsid w:val="008C16C4"/>
    <w:rsid w:val="008C73F1"/>
    <w:rsid w:val="008C75A1"/>
    <w:rsid w:val="008D0972"/>
    <w:rsid w:val="008E1648"/>
    <w:rsid w:val="008F0CE6"/>
    <w:rsid w:val="00911127"/>
    <w:rsid w:val="00921646"/>
    <w:rsid w:val="00922118"/>
    <w:rsid w:val="00947045"/>
    <w:rsid w:val="0095334E"/>
    <w:rsid w:val="00965E1F"/>
    <w:rsid w:val="00984264"/>
    <w:rsid w:val="009A09E7"/>
    <w:rsid w:val="009A56A9"/>
    <w:rsid w:val="009B32FE"/>
    <w:rsid w:val="009B46DA"/>
    <w:rsid w:val="009B47BD"/>
    <w:rsid w:val="009C4B10"/>
    <w:rsid w:val="009E3647"/>
    <w:rsid w:val="00A00D8F"/>
    <w:rsid w:val="00A316A3"/>
    <w:rsid w:val="00A35387"/>
    <w:rsid w:val="00A37935"/>
    <w:rsid w:val="00A461F3"/>
    <w:rsid w:val="00A47466"/>
    <w:rsid w:val="00A53EFB"/>
    <w:rsid w:val="00A617A7"/>
    <w:rsid w:val="00A717B3"/>
    <w:rsid w:val="00A72F2D"/>
    <w:rsid w:val="00A82476"/>
    <w:rsid w:val="00A942FB"/>
    <w:rsid w:val="00A95B46"/>
    <w:rsid w:val="00AB1543"/>
    <w:rsid w:val="00AD6965"/>
    <w:rsid w:val="00AD71D7"/>
    <w:rsid w:val="00AE5B74"/>
    <w:rsid w:val="00B14C18"/>
    <w:rsid w:val="00B177E8"/>
    <w:rsid w:val="00B44000"/>
    <w:rsid w:val="00B738EA"/>
    <w:rsid w:val="00B90E6D"/>
    <w:rsid w:val="00B9276F"/>
    <w:rsid w:val="00BA6450"/>
    <w:rsid w:val="00BC23EF"/>
    <w:rsid w:val="00BD4B82"/>
    <w:rsid w:val="00BE046A"/>
    <w:rsid w:val="00BE0688"/>
    <w:rsid w:val="00BE21B9"/>
    <w:rsid w:val="00C07085"/>
    <w:rsid w:val="00C20463"/>
    <w:rsid w:val="00C3440E"/>
    <w:rsid w:val="00C35E4E"/>
    <w:rsid w:val="00C50A22"/>
    <w:rsid w:val="00C54038"/>
    <w:rsid w:val="00C72FED"/>
    <w:rsid w:val="00C738A8"/>
    <w:rsid w:val="00C7751B"/>
    <w:rsid w:val="00C84895"/>
    <w:rsid w:val="00C85286"/>
    <w:rsid w:val="00CB3C34"/>
    <w:rsid w:val="00CC502A"/>
    <w:rsid w:val="00CE19DA"/>
    <w:rsid w:val="00CF09BD"/>
    <w:rsid w:val="00CF3DB8"/>
    <w:rsid w:val="00CF5683"/>
    <w:rsid w:val="00D22951"/>
    <w:rsid w:val="00D331BF"/>
    <w:rsid w:val="00D41BD4"/>
    <w:rsid w:val="00D45347"/>
    <w:rsid w:val="00D46C8E"/>
    <w:rsid w:val="00D6686D"/>
    <w:rsid w:val="00D9278C"/>
    <w:rsid w:val="00DB242E"/>
    <w:rsid w:val="00DB3A03"/>
    <w:rsid w:val="00DB7968"/>
    <w:rsid w:val="00DC442D"/>
    <w:rsid w:val="00DE5F9B"/>
    <w:rsid w:val="00DE7CC9"/>
    <w:rsid w:val="00DF51B9"/>
    <w:rsid w:val="00DF58E4"/>
    <w:rsid w:val="00E03545"/>
    <w:rsid w:val="00E14CF2"/>
    <w:rsid w:val="00E17025"/>
    <w:rsid w:val="00E243DD"/>
    <w:rsid w:val="00E270F9"/>
    <w:rsid w:val="00E30C8F"/>
    <w:rsid w:val="00E43236"/>
    <w:rsid w:val="00E629FB"/>
    <w:rsid w:val="00E64E9B"/>
    <w:rsid w:val="00E6558C"/>
    <w:rsid w:val="00E734F9"/>
    <w:rsid w:val="00E86433"/>
    <w:rsid w:val="00E90969"/>
    <w:rsid w:val="00E95226"/>
    <w:rsid w:val="00EA63E8"/>
    <w:rsid w:val="00EA7A3D"/>
    <w:rsid w:val="00EC22E4"/>
    <w:rsid w:val="00EC235A"/>
    <w:rsid w:val="00ED0C18"/>
    <w:rsid w:val="00EE481C"/>
    <w:rsid w:val="00EF663F"/>
    <w:rsid w:val="00F27A9A"/>
    <w:rsid w:val="00F27E4E"/>
    <w:rsid w:val="00F31445"/>
    <w:rsid w:val="00F463E6"/>
    <w:rsid w:val="00F74E52"/>
    <w:rsid w:val="00FA391C"/>
    <w:rsid w:val="00FC14FD"/>
    <w:rsid w:val="00FE4323"/>
    <w:rsid w:val="00FF25D9"/>
    <w:rsid w:val="00F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A745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61F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F5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D80"/>
  </w:style>
  <w:style w:type="paragraph" w:styleId="Footer">
    <w:name w:val="footer"/>
    <w:basedOn w:val="Normal"/>
    <w:link w:val="FooterChar"/>
    <w:uiPriority w:val="99"/>
    <w:unhideWhenUsed/>
    <w:rsid w:val="005F5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D80"/>
  </w:style>
  <w:style w:type="paragraph" w:styleId="ListParagraph">
    <w:name w:val="List Paragraph"/>
    <w:basedOn w:val="Normal"/>
    <w:uiPriority w:val="34"/>
    <w:qFormat/>
    <w:rsid w:val="00AE5B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2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2020-02-05T16:59:00Z</dcterms:created>
  <dcterms:modified xsi:type="dcterms:W3CDTF">2020-02-13T20:45:00Z</dcterms:modified>
</cp:coreProperties>
</file>