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614" w:rsidRPr="00503874" w:rsidRDefault="00804614" w:rsidP="00804614">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804614" w:rsidRPr="00503874" w:rsidRDefault="00804614" w:rsidP="00804614">
      <w:pPr>
        <w:spacing w:after="0" w:line="240" w:lineRule="auto"/>
        <w:jc w:val="both"/>
        <w:rPr>
          <w:rFonts w:ascii="Times New Roman" w:eastAsia="Arial" w:hAnsi="Times New Roman"/>
          <w:sz w:val="26"/>
          <w:szCs w:val="26"/>
        </w:rPr>
      </w:pPr>
    </w:p>
    <w:p w:rsidR="00804614" w:rsidRPr="00503874" w:rsidRDefault="00804614" w:rsidP="00804614">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751</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provides:</w:t>
      </w:r>
    </w:p>
    <w:p w:rsidR="00804614" w:rsidRPr="00503874" w:rsidRDefault="00804614" w:rsidP="00804614">
      <w:pPr>
        <w:spacing w:after="0" w:line="240" w:lineRule="auto"/>
        <w:jc w:val="both"/>
        <w:rPr>
          <w:rFonts w:ascii="Times New Roman" w:eastAsia="Arial" w:hAnsi="Times New Roman"/>
          <w:sz w:val="26"/>
          <w:szCs w:val="26"/>
        </w:rPr>
      </w:pPr>
    </w:p>
    <w:p w:rsidR="00804614" w:rsidRPr="00503874" w:rsidRDefault="00804614" w:rsidP="00804614">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t>Whoever escapes or attempts to escape from the custody of the Attorney General or his authorized representative, or from any institution or facility in which he is confined by direction of the Attorney General, or from any custody under or by virtue of any process issued under the laws of the United States by any court, judge, or magistrate judge, or from the custody of an officer or employee of the United States pursuant to lawful arrest [shall be guilty of an offense against the United States].</w:t>
      </w:r>
    </w:p>
    <w:p w:rsidR="00804614" w:rsidRPr="00503874" w:rsidRDefault="00804614" w:rsidP="00804614">
      <w:pPr>
        <w:spacing w:after="0" w:line="240" w:lineRule="auto"/>
        <w:jc w:val="both"/>
        <w:rPr>
          <w:rFonts w:ascii="Times New Roman" w:eastAsia="Arial" w:hAnsi="Times New Roman" w:cs="Times New Roman"/>
          <w:sz w:val="26"/>
          <w:szCs w:val="26"/>
        </w:rPr>
      </w:pPr>
    </w:p>
    <w:p w:rsidR="00804614" w:rsidRPr="00503874" w:rsidRDefault="00804614" w:rsidP="00804614">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Maximum Penalty: Five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5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years imprisonment and $250,000 fine.</w:t>
      </w:r>
    </w:p>
    <w:p w:rsidR="00804614" w:rsidRPr="00503874" w:rsidRDefault="00804614" w:rsidP="00804614">
      <w:pPr>
        <w:spacing w:after="0" w:line="240" w:lineRule="auto"/>
        <w:jc w:val="both"/>
        <w:rPr>
          <w:rFonts w:ascii="Times New Roman" w:eastAsia="Arial" w:hAnsi="Times New Roman" w:cs="Times New Roman"/>
          <w:sz w:val="26"/>
          <w:szCs w:val="26"/>
        </w:rPr>
      </w:pPr>
    </w:p>
    <w:p w:rsidR="00804614" w:rsidRPr="00503874" w:rsidRDefault="00804614" w:rsidP="00804614">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In </w:t>
      </w:r>
      <w:r w:rsidRPr="006E2C07">
        <w:rPr>
          <w:rFonts w:ascii="Times New Roman" w:eastAsia="Arial" w:hAnsi="Times New Roman" w:cs="Times New Roman"/>
          <w:i/>
          <w:sz w:val="26"/>
          <w:szCs w:val="26"/>
        </w:rPr>
        <w:t>United States v. Bailey</w:t>
      </w:r>
      <w:r w:rsidRPr="00503874">
        <w:rPr>
          <w:rFonts w:ascii="Times New Roman" w:eastAsia="Arial" w:hAnsi="Times New Roman" w:cs="Times New Roman"/>
          <w:sz w:val="26"/>
          <w:szCs w:val="26"/>
        </w:rPr>
        <w:t>, 444 U.S. 394, 408, 100 S. Ct. 624, 633, 62 L.</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Ed.</w:t>
      </w:r>
      <w:r>
        <w:rPr>
          <w:rFonts w:ascii="Times New Roman" w:eastAsia="Arial" w:hAnsi="Times New Roman" w:cs="Times New Roman"/>
          <w:sz w:val="26"/>
          <w:szCs w:val="26"/>
        </w:rPr>
        <w:t xml:space="preserve"> </w:t>
      </w:r>
      <w:r w:rsidRPr="00503874">
        <w:rPr>
          <w:rFonts w:ascii="Times New Roman" w:eastAsia="Arial" w:hAnsi="Times New Roman" w:cs="Times New Roman"/>
          <w:sz w:val="26"/>
          <w:szCs w:val="26"/>
        </w:rPr>
        <w:t>2d 575 (1980), the Supreme Court rejected the notion that § 751</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1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requires proof of “an intent to avoid confinement.” The Court held that the prosecution meets its burden by showing that the escapee knew his actions would result in leaving physical confinement without permission.</w:t>
      </w:r>
    </w:p>
    <w:p w:rsidR="00804614" w:rsidRPr="00503874" w:rsidRDefault="00804614" w:rsidP="00804614">
      <w:pPr>
        <w:spacing w:after="0" w:line="240" w:lineRule="auto"/>
        <w:jc w:val="both"/>
        <w:rPr>
          <w:rFonts w:ascii="Times New Roman" w:eastAsia="Arial" w:hAnsi="Times New Roman" w:cs="Times New Roman"/>
          <w:sz w:val="26"/>
          <w:szCs w:val="26"/>
        </w:rPr>
      </w:pPr>
    </w:p>
    <w:p w:rsidR="00804614" w:rsidRPr="00503874" w:rsidRDefault="00804614" w:rsidP="00804614">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Regarding escape from an INS Detention Facility, </w:t>
      </w:r>
      <w:r w:rsidRPr="006E2C07">
        <w:rPr>
          <w:rFonts w:ascii="Times New Roman" w:eastAsia="Arial" w:hAnsi="Times New Roman" w:cs="Times New Roman"/>
          <w:i/>
          <w:sz w:val="26"/>
          <w:szCs w:val="26"/>
        </w:rPr>
        <w:t>see United States v. Rodriguez-Fernandez</w:t>
      </w:r>
      <w:r w:rsidRPr="00503874">
        <w:rPr>
          <w:rFonts w:ascii="Times New Roman" w:eastAsia="Arial" w:hAnsi="Times New Roman" w:cs="Times New Roman"/>
          <w:sz w:val="26"/>
          <w:szCs w:val="26"/>
        </w:rPr>
        <w:t>, 234 F.3d 498 (11</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2000).</w:t>
      </w:r>
    </w:p>
    <w:p w:rsidR="00804614" w:rsidRPr="00503874" w:rsidRDefault="00804614" w:rsidP="00804614">
      <w:pPr>
        <w:spacing w:after="0" w:line="240" w:lineRule="auto"/>
        <w:jc w:val="both"/>
        <w:rPr>
          <w:rFonts w:ascii="Times New Roman" w:eastAsia="Arial" w:hAnsi="Times New Roman" w:cs="Times New Roman"/>
          <w:sz w:val="26"/>
          <w:szCs w:val="26"/>
        </w:rPr>
      </w:pPr>
    </w:p>
    <w:p w:rsidR="00804614" w:rsidRPr="00503874" w:rsidRDefault="00804614" w:rsidP="00804614">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The first element, pertaining to custody or confinement, normally can be established by demonstrating that a subject was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1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in the custody of the Attorney General or her authorized representative;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2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confined in an institution by direction of the Attorney General;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3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in custody under or by virtue of any process issued under the laws of the United States by any court, judge, or magistrate; or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4 \s 4 </w:instrText>
      </w:r>
      <w:r w:rsidRPr="00503874">
        <w:rPr>
          <w:rFonts w:ascii="Times New Roman" w:eastAsia="Arial" w:hAnsi="Times New Roman" w:cs="Times New Roman"/>
          <w:sz w:val="26"/>
          <w:szCs w:val="26"/>
        </w:rPr>
        <w:fldChar w:fldCharType="end"/>
      </w:r>
      <w:r w:rsidRPr="00503874">
        <w:rPr>
          <w:rFonts w:ascii="Times New Roman" w:eastAsia="Arial" w:hAnsi="Times New Roman" w:cs="Times New Roman"/>
          <w:sz w:val="26"/>
          <w:szCs w:val="26"/>
        </w:rPr>
        <w:t xml:space="preserve"> in the custody of an officer or employee of the United States pursuant to a lawful arrest. </w:t>
      </w:r>
      <w:r w:rsidRPr="006E2C07">
        <w:rPr>
          <w:rFonts w:ascii="Times New Roman" w:eastAsia="Arial" w:hAnsi="Times New Roman" w:cs="Times New Roman"/>
          <w:i/>
          <w:sz w:val="26"/>
          <w:szCs w:val="26"/>
        </w:rPr>
        <w:t>Id</w:t>
      </w:r>
      <w:r w:rsidRPr="00503874">
        <w:rPr>
          <w:rFonts w:ascii="Times New Roman" w:eastAsia="Arial" w:hAnsi="Times New Roman" w:cs="Times New Roman"/>
          <w:b/>
          <w:i/>
          <w:sz w:val="26"/>
          <w:szCs w:val="26"/>
        </w:rPr>
        <w:t>.</w:t>
      </w:r>
      <w:r w:rsidRPr="00503874">
        <w:rPr>
          <w:rFonts w:ascii="Times New Roman" w:eastAsia="Arial" w:hAnsi="Times New Roman" w:cs="Times New Roman"/>
          <w:sz w:val="26"/>
          <w:szCs w:val="26"/>
        </w:rPr>
        <w:t xml:space="preserve"> at 500, n.6.</w:t>
      </w:r>
    </w:p>
    <w:p w:rsidR="00804614" w:rsidRPr="00503874" w:rsidRDefault="00804614" w:rsidP="00804614">
      <w:pPr>
        <w:spacing w:after="0" w:line="240" w:lineRule="auto"/>
        <w:jc w:val="both"/>
        <w:rPr>
          <w:rFonts w:ascii="Times New Roman" w:eastAsia="Arial" w:hAnsi="Times New Roman" w:cs="Times New Roman"/>
          <w:sz w:val="26"/>
          <w:szCs w:val="26"/>
        </w:rPr>
      </w:pPr>
    </w:p>
    <w:p w:rsidR="00804614" w:rsidRPr="00503874" w:rsidRDefault="00804614" w:rsidP="00804614">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The Fourth, Eighth, Ninth and Tenth Circuits hold that custody may be minimal or even constructive. </w:t>
      </w:r>
      <w:r w:rsidRPr="006E2C07">
        <w:rPr>
          <w:rFonts w:ascii="Times New Roman" w:eastAsia="Arial" w:hAnsi="Times New Roman" w:cs="Times New Roman"/>
          <w:i/>
          <w:sz w:val="26"/>
          <w:szCs w:val="26"/>
        </w:rPr>
        <w:t>See United States v. Cluck</w:t>
      </w:r>
      <w:r w:rsidRPr="00503874">
        <w:rPr>
          <w:rFonts w:ascii="Times New Roman" w:eastAsia="Arial" w:hAnsi="Times New Roman" w:cs="Times New Roman"/>
          <w:sz w:val="26"/>
          <w:szCs w:val="26"/>
        </w:rPr>
        <w:t>, 542 F.2d 728, 731 (8</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1976); </w:t>
      </w:r>
      <w:r w:rsidRPr="006E2C07">
        <w:rPr>
          <w:rFonts w:ascii="Times New Roman" w:eastAsia="Arial" w:hAnsi="Times New Roman" w:cs="Times New Roman"/>
          <w:i/>
          <w:sz w:val="26"/>
          <w:szCs w:val="26"/>
        </w:rPr>
        <w:t>United States v. Depew</w:t>
      </w:r>
      <w:r w:rsidRPr="00503874">
        <w:rPr>
          <w:rFonts w:ascii="Times New Roman" w:eastAsia="Arial" w:hAnsi="Times New Roman" w:cs="Times New Roman"/>
          <w:sz w:val="26"/>
          <w:szCs w:val="26"/>
        </w:rPr>
        <w:t>, 977 F.2d 1412, 1414 (10</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1992); </w:t>
      </w:r>
      <w:r w:rsidRPr="006E2C07">
        <w:rPr>
          <w:rFonts w:ascii="Times New Roman" w:eastAsia="Arial" w:hAnsi="Times New Roman" w:cs="Times New Roman"/>
          <w:i/>
          <w:sz w:val="26"/>
          <w:szCs w:val="26"/>
        </w:rPr>
        <w:t>United States v. Hollen</w:t>
      </w:r>
      <w:r w:rsidRPr="00503874">
        <w:rPr>
          <w:rFonts w:ascii="Times New Roman" w:eastAsia="Arial" w:hAnsi="Times New Roman" w:cs="Times New Roman"/>
          <w:sz w:val="26"/>
          <w:szCs w:val="26"/>
        </w:rPr>
        <w:t>, 393 F.2d 479 (4</w:t>
      </w:r>
      <w:r w:rsidRPr="00503874">
        <w:rPr>
          <w:rFonts w:ascii="Times New Roman" w:eastAsia="Arial" w:hAnsi="Times New Roman" w:cs="Times New Roman"/>
          <w:sz w:val="26"/>
          <w:szCs w:val="26"/>
          <w:vertAlign w:val="superscript"/>
        </w:rPr>
        <w:t>th</w:t>
      </w:r>
      <w:r w:rsidRPr="00503874">
        <w:rPr>
          <w:rFonts w:ascii="Times New Roman" w:eastAsia="Arial" w:hAnsi="Times New Roman" w:cs="Times New Roman"/>
          <w:sz w:val="26"/>
          <w:szCs w:val="26"/>
        </w:rPr>
        <w:t xml:space="preserve"> Cir. 1968).</w:t>
      </w:r>
    </w:p>
    <w:p w:rsidR="00804614" w:rsidRPr="00503874" w:rsidRDefault="00804614" w:rsidP="00804614">
      <w:pPr>
        <w:spacing w:after="0" w:line="240" w:lineRule="auto"/>
        <w:jc w:val="both"/>
        <w:rPr>
          <w:rFonts w:ascii="Times New Roman" w:eastAsia="Arial" w:hAnsi="Times New Roman" w:cs="Times New Roman"/>
          <w:sz w:val="26"/>
          <w:szCs w:val="26"/>
        </w:rPr>
      </w:pPr>
    </w:p>
    <w:p w:rsidR="00725167" w:rsidRPr="00804614" w:rsidRDefault="00804614" w:rsidP="00804614">
      <w:pPr>
        <w:spacing w:after="0" w:line="240" w:lineRule="auto"/>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xml:space="preserve">If the indictment alleges an attempt, </w:t>
      </w:r>
      <w:r w:rsidRPr="006E2C07">
        <w:rPr>
          <w:rFonts w:ascii="Times New Roman" w:eastAsia="Arial" w:hAnsi="Times New Roman" w:cs="Times New Roman"/>
          <w:i/>
          <w:sz w:val="26"/>
          <w:szCs w:val="26"/>
        </w:rPr>
        <w:t>see</w:t>
      </w:r>
      <w:r>
        <w:rPr>
          <w:rFonts w:ascii="Times New Roman" w:eastAsia="Arial" w:hAnsi="Times New Roman" w:cs="Times New Roman"/>
          <w:sz w:val="26"/>
          <w:szCs w:val="26"/>
        </w:rPr>
        <w:t xml:space="preserve"> Special Instruction 11.</w:t>
      </w:r>
      <w:bookmarkEnd w:id="0"/>
    </w:p>
    <w:sectPr w:rsidR="00725167" w:rsidRPr="008046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070" w:rsidRDefault="00787070" w:rsidP="00787070">
      <w:pPr>
        <w:spacing w:after="0" w:line="240" w:lineRule="auto"/>
      </w:pPr>
      <w:r>
        <w:separator/>
      </w:r>
    </w:p>
  </w:endnote>
  <w:endnote w:type="continuationSeparator" w:id="0">
    <w:p w:rsidR="00787070" w:rsidRDefault="00787070" w:rsidP="00787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070" w:rsidRDefault="00787070" w:rsidP="00787070">
      <w:pPr>
        <w:spacing w:after="0" w:line="240" w:lineRule="auto"/>
      </w:pPr>
      <w:r>
        <w:separator/>
      </w:r>
    </w:p>
  </w:footnote>
  <w:footnote w:type="continuationSeparator" w:id="0">
    <w:p w:rsidR="00787070" w:rsidRDefault="00787070" w:rsidP="007870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91548"/>
    <w:rsid w:val="000C32C1"/>
    <w:rsid w:val="00110446"/>
    <w:rsid w:val="001217D5"/>
    <w:rsid w:val="0012744C"/>
    <w:rsid w:val="00135397"/>
    <w:rsid w:val="00157747"/>
    <w:rsid w:val="00194E82"/>
    <w:rsid w:val="001E5B53"/>
    <w:rsid w:val="00231B22"/>
    <w:rsid w:val="002329BF"/>
    <w:rsid w:val="00233997"/>
    <w:rsid w:val="00236275"/>
    <w:rsid w:val="00245EF2"/>
    <w:rsid w:val="002604B9"/>
    <w:rsid w:val="003067A0"/>
    <w:rsid w:val="00314335"/>
    <w:rsid w:val="003A75E9"/>
    <w:rsid w:val="003D6207"/>
    <w:rsid w:val="00406A43"/>
    <w:rsid w:val="00465F35"/>
    <w:rsid w:val="004A354F"/>
    <w:rsid w:val="004C148A"/>
    <w:rsid w:val="00503A01"/>
    <w:rsid w:val="00511CE4"/>
    <w:rsid w:val="0056064A"/>
    <w:rsid w:val="00586722"/>
    <w:rsid w:val="005B45D9"/>
    <w:rsid w:val="005C4DB9"/>
    <w:rsid w:val="00615301"/>
    <w:rsid w:val="006179FB"/>
    <w:rsid w:val="00632C46"/>
    <w:rsid w:val="00636B96"/>
    <w:rsid w:val="006B1FC0"/>
    <w:rsid w:val="006E2C07"/>
    <w:rsid w:val="00725167"/>
    <w:rsid w:val="00780FDD"/>
    <w:rsid w:val="00783A2A"/>
    <w:rsid w:val="00787070"/>
    <w:rsid w:val="007C4B9C"/>
    <w:rsid w:val="00804614"/>
    <w:rsid w:val="0081575C"/>
    <w:rsid w:val="008A442C"/>
    <w:rsid w:val="008B4118"/>
    <w:rsid w:val="008C025F"/>
    <w:rsid w:val="008E0F69"/>
    <w:rsid w:val="008E221D"/>
    <w:rsid w:val="008E4BA2"/>
    <w:rsid w:val="008E7C9B"/>
    <w:rsid w:val="009458BA"/>
    <w:rsid w:val="009745AC"/>
    <w:rsid w:val="009F5DAD"/>
    <w:rsid w:val="00A355FD"/>
    <w:rsid w:val="00A66EA6"/>
    <w:rsid w:val="00AA01A6"/>
    <w:rsid w:val="00AA4174"/>
    <w:rsid w:val="00AC24E2"/>
    <w:rsid w:val="00AE0F43"/>
    <w:rsid w:val="00AE20D4"/>
    <w:rsid w:val="00AF2C77"/>
    <w:rsid w:val="00B111CD"/>
    <w:rsid w:val="00B85D99"/>
    <w:rsid w:val="00B930F5"/>
    <w:rsid w:val="00BA1F2B"/>
    <w:rsid w:val="00BD01A4"/>
    <w:rsid w:val="00BE645C"/>
    <w:rsid w:val="00C1091D"/>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85563"/>
    <w:rsid w:val="00EA08A4"/>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870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070"/>
  </w:style>
  <w:style w:type="paragraph" w:styleId="Footer">
    <w:name w:val="footer"/>
    <w:basedOn w:val="Normal"/>
    <w:link w:val="FooterChar"/>
    <w:uiPriority w:val="99"/>
    <w:unhideWhenUsed/>
    <w:rsid w:val="007870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0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870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070"/>
  </w:style>
  <w:style w:type="paragraph" w:styleId="Footer">
    <w:name w:val="footer"/>
    <w:basedOn w:val="Normal"/>
    <w:link w:val="FooterChar"/>
    <w:uiPriority w:val="99"/>
    <w:unhideWhenUsed/>
    <w:rsid w:val="007870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2014-03-31T23:07:00Z</dcterms:created>
  <dcterms:modified xsi:type="dcterms:W3CDTF">2014-06-18T22:51:00Z</dcterms:modified>
</cp:coreProperties>
</file>