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837" w:rsidRPr="007A2E3A" w:rsidRDefault="00037837" w:rsidP="00037837">
      <w:pPr>
        <w:autoSpaceDE w:val="0"/>
        <w:autoSpaceDN w:val="0"/>
        <w:adjustRightInd w:val="0"/>
        <w:spacing w:after="0" w:line="240" w:lineRule="auto"/>
        <w:rPr>
          <w:rFonts w:ascii="Times New Roman" w:hAnsi="Times New Roman" w:cs="Times New Roman"/>
          <w:b/>
          <w:bCs/>
          <w:sz w:val="28"/>
          <w:szCs w:val="28"/>
        </w:rPr>
      </w:pPr>
      <w:r w:rsidRPr="007A2E3A">
        <w:rPr>
          <w:rFonts w:ascii="Times New Roman" w:hAnsi="Times New Roman" w:cs="Times New Roman"/>
          <w:b/>
          <w:bCs/>
          <w:sz w:val="28"/>
          <w:szCs w:val="28"/>
        </w:rPr>
        <w:t>ANNOTATIONS AND COMMENTS</w:t>
      </w:r>
    </w:p>
    <w:p w:rsidR="00037837" w:rsidRPr="007A2E3A" w:rsidRDefault="00037837" w:rsidP="00037837">
      <w:pPr>
        <w:autoSpaceDE w:val="0"/>
        <w:autoSpaceDN w:val="0"/>
        <w:adjustRightInd w:val="0"/>
        <w:spacing w:after="0" w:line="240" w:lineRule="auto"/>
        <w:rPr>
          <w:rFonts w:ascii="Times New Roman" w:hAnsi="Times New Roman" w:cs="Times New Roman"/>
          <w:sz w:val="28"/>
          <w:szCs w:val="28"/>
        </w:rPr>
      </w:pP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r w:rsidRPr="007A2E3A">
        <w:rPr>
          <w:rFonts w:ascii="Times New Roman" w:hAnsi="Times New Roman" w:cs="Times New Roman"/>
          <w:sz w:val="28"/>
          <w:szCs w:val="28"/>
        </w:rPr>
        <w:t>18 U.S.C. § 876(c) provides:</w:t>
      </w: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p>
    <w:p w:rsidR="00037837" w:rsidRPr="007A2E3A" w:rsidRDefault="00037837" w:rsidP="00037837">
      <w:pPr>
        <w:autoSpaceDE w:val="0"/>
        <w:autoSpaceDN w:val="0"/>
        <w:adjustRightInd w:val="0"/>
        <w:spacing w:after="0" w:line="240" w:lineRule="auto"/>
        <w:ind w:left="720" w:right="720"/>
        <w:jc w:val="both"/>
        <w:rPr>
          <w:rFonts w:ascii="Times New Roman" w:hAnsi="Times New Roman" w:cs="Times New Roman"/>
          <w:sz w:val="28"/>
          <w:szCs w:val="28"/>
        </w:rPr>
      </w:pPr>
      <w:r w:rsidRPr="007A2E3A">
        <w:rPr>
          <w:rFonts w:ascii="Times New Roman" w:hAnsi="Times New Roman" w:cs="Times New Roman"/>
          <w:sz w:val="28"/>
          <w:szCs w:val="28"/>
        </w:rPr>
        <w:t>Whoever knowingly [</w:t>
      </w:r>
      <w:r w:rsidRPr="007A2E3A">
        <w:rPr>
          <w:rFonts w:ascii="Times New Roman" w:hAnsi="Times New Roman" w:cs="Times New Roman"/>
          <w:color w:val="252525"/>
          <w:sz w:val="28"/>
          <w:szCs w:val="28"/>
        </w:rPr>
        <w:t>deposits in any post office or authorized depository for mail matter, to be sent or delivered by the Postal Service or knowingly causes to be delivered by the Postal Service according to the direction thereon]</w:t>
      </w:r>
      <w:r w:rsidRPr="007A2E3A">
        <w:rPr>
          <w:rFonts w:ascii="Times New Roman" w:hAnsi="Times New Roman" w:cs="Times New Roman"/>
          <w:sz w:val="28"/>
          <w:szCs w:val="28"/>
        </w:rPr>
        <w:t>, any communication with or without a name or designating mark subscribed thereto, addressed to any other person and containing any threat to kidnap any person or any threat to injure the person of the addressee or of another [shall be guilty of an offense against the United States].</w:t>
      </w: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r w:rsidRPr="007A2E3A">
        <w:rPr>
          <w:rFonts w:ascii="Times New Roman" w:hAnsi="Times New Roman" w:cs="Times New Roman"/>
          <w:sz w:val="28"/>
          <w:szCs w:val="28"/>
        </w:rPr>
        <w:t>Maximum Penalty: Up to ten (10) years imprisonment (if the addressee is a United States judge or federal officer/official) and applicable fine.</w:t>
      </w: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r w:rsidRPr="007A2E3A">
        <w:rPr>
          <w:rFonts w:ascii="Times New Roman" w:hAnsi="Times New Roman" w:cs="Times New Roman"/>
          <w:sz w:val="28"/>
          <w:szCs w:val="28"/>
        </w:rPr>
        <w:t xml:space="preserve">This instruction is based on </w:t>
      </w:r>
      <w:r w:rsidRPr="007A2E3A">
        <w:rPr>
          <w:rFonts w:ascii="Times New Roman" w:hAnsi="Times New Roman" w:cs="Times New Roman"/>
          <w:i/>
          <w:sz w:val="28"/>
          <w:szCs w:val="28"/>
        </w:rPr>
        <w:t>Elonis v. United States</w:t>
      </w:r>
      <w:r w:rsidRPr="007A2E3A">
        <w:rPr>
          <w:rFonts w:ascii="Times New Roman" w:hAnsi="Times New Roman" w:cs="Times New Roman"/>
          <w:sz w:val="28"/>
          <w:szCs w:val="28"/>
        </w:rPr>
        <w:t xml:space="preserve">, 575 U.S. __, 135 S. Ct. 2001 (2015).  </w:t>
      </w: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r w:rsidRPr="007A2E3A">
        <w:rPr>
          <w:rFonts w:ascii="Times New Roman" w:hAnsi="Times New Roman" w:cs="Times New Roman"/>
          <w:sz w:val="28"/>
          <w:szCs w:val="28"/>
        </w:rPr>
        <w:t xml:space="preserve">In </w:t>
      </w:r>
      <w:r w:rsidRPr="007A2E3A">
        <w:rPr>
          <w:rFonts w:ascii="Times New Roman" w:hAnsi="Times New Roman" w:cs="Times New Roman"/>
          <w:i/>
          <w:sz w:val="28"/>
          <w:szCs w:val="28"/>
        </w:rPr>
        <w:t>Elonis</w:t>
      </w:r>
      <w:r w:rsidRPr="007A2E3A">
        <w:rPr>
          <w:rFonts w:ascii="Times New Roman" w:hAnsi="Times New Roman" w:cs="Times New Roman"/>
          <w:sz w:val="28"/>
          <w:szCs w:val="28"/>
        </w:rPr>
        <w:t xml:space="preserve">, the Supreme Court rejected a district court’s instruction under 18 U.S.C § 875(c) (which deals with the transmission of threatening communications in interstate or foreign commerce) that failed to consider the defendant’s subjective mental state.  The Supreme Court held that an objective standard requiring that “liability turn on whether a ‘reasonable person’ regards the communication as a threat—regardless of what the defendant thinks—reduces culpability on the all-important element of the crime to negligence.”  </w:t>
      </w:r>
      <w:proofErr w:type="gramStart"/>
      <w:r w:rsidRPr="007A2E3A">
        <w:rPr>
          <w:rFonts w:ascii="Times New Roman" w:hAnsi="Times New Roman" w:cs="Times New Roman"/>
          <w:i/>
          <w:sz w:val="28"/>
          <w:szCs w:val="28"/>
        </w:rPr>
        <w:t>Id.</w:t>
      </w:r>
      <w:r w:rsidRPr="007A2E3A">
        <w:rPr>
          <w:rFonts w:ascii="Times New Roman" w:hAnsi="Times New Roman" w:cs="Times New Roman"/>
          <w:sz w:val="28"/>
          <w:szCs w:val="28"/>
        </w:rPr>
        <w:t xml:space="preserve"> at 2011 (citation omitted).</w:t>
      </w:r>
      <w:proofErr w:type="gramEnd"/>
      <w:r w:rsidRPr="007A2E3A">
        <w:rPr>
          <w:rFonts w:ascii="Times New Roman" w:hAnsi="Times New Roman" w:cs="Times New Roman"/>
          <w:sz w:val="28"/>
          <w:szCs w:val="28"/>
        </w:rPr>
        <w:t xml:space="preserve">  The Court specifically held that the mental state requirement of § 875(c) “is satisfied if the defendant transmits a communication for the purpose of issuing a threat, or with knowledge that the communication will be viewed as a threat.”  </w:t>
      </w:r>
      <w:proofErr w:type="gramStart"/>
      <w:r w:rsidRPr="007A2E3A">
        <w:rPr>
          <w:rFonts w:ascii="Times New Roman" w:hAnsi="Times New Roman" w:cs="Times New Roman"/>
          <w:i/>
          <w:sz w:val="28"/>
          <w:szCs w:val="28"/>
        </w:rPr>
        <w:t>Id.</w:t>
      </w:r>
      <w:r w:rsidRPr="007A2E3A">
        <w:rPr>
          <w:rFonts w:ascii="Times New Roman" w:hAnsi="Times New Roman" w:cs="Times New Roman"/>
          <w:sz w:val="28"/>
          <w:szCs w:val="28"/>
        </w:rPr>
        <w:t xml:space="preserve"> at 2012.</w:t>
      </w:r>
      <w:proofErr w:type="gramEnd"/>
      <w:r w:rsidRPr="007A2E3A">
        <w:rPr>
          <w:rFonts w:ascii="Times New Roman" w:hAnsi="Times New Roman" w:cs="Times New Roman"/>
          <w:sz w:val="28"/>
          <w:szCs w:val="28"/>
        </w:rPr>
        <w:t xml:space="preserve">  The Court declined, however, to determine whether a finding of recklessness on the part of the defendant would be sufficient.  </w:t>
      </w:r>
      <w:r w:rsidRPr="007A2E3A">
        <w:rPr>
          <w:rFonts w:ascii="Times New Roman" w:hAnsi="Times New Roman" w:cs="Times New Roman"/>
          <w:i/>
          <w:sz w:val="28"/>
          <w:szCs w:val="28"/>
        </w:rPr>
        <w:t xml:space="preserve">Id. </w:t>
      </w:r>
      <w:r w:rsidRPr="007A2E3A">
        <w:rPr>
          <w:rFonts w:ascii="Times New Roman" w:hAnsi="Times New Roman" w:cs="Times New Roman"/>
          <w:sz w:val="28"/>
          <w:szCs w:val="28"/>
        </w:rPr>
        <w:t xml:space="preserve">at 2012-13.  </w:t>
      </w: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r w:rsidRPr="007A2E3A">
        <w:rPr>
          <w:rFonts w:ascii="Times New Roman" w:hAnsi="Times New Roman" w:cs="Times New Roman"/>
          <w:sz w:val="28"/>
          <w:szCs w:val="28"/>
        </w:rPr>
        <w:t xml:space="preserve">The Court noted that the defendant’s conviction could not be “premised solely” on a reasonable person standard and that it was an error for the Government to “prove </w:t>
      </w:r>
      <w:r w:rsidRPr="007A2E3A">
        <w:rPr>
          <w:rFonts w:ascii="Times New Roman" w:hAnsi="Times New Roman" w:cs="Times New Roman"/>
          <w:i/>
          <w:sz w:val="28"/>
          <w:szCs w:val="28"/>
        </w:rPr>
        <w:t>only</w:t>
      </w:r>
      <w:r w:rsidRPr="007A2E3A">
        <w:rPr>
          <w:rFonts w:ascii="Times New Roman" w:hAnsi="Times New Roman" w:cs="Times New Roman"/>
          <w:sz w:val="28"/>
          <w:szCs w:val="28"/>
        </w:rPr>
        <w:t xml:space="preserve"> that a reasonable person would regard [the defendant’s] communications as threats.”  135 S. Ct. at 2011</w:t>
      </w:r>
      <w:r w:rsidRPr="007A2E3A">
        <w:rPr>
          <w:rFonts w:ascii="Times New Roman" w:hAnsi="Times New Roman" w:cs="Times New Roman"/>
          <w:sz w:val="28"/>
          <w:szCs w:val="28"/>
        </w:rPr>
        <w:softHyphen/>
      </w:r>
      <w:r w:rsidRPr="007A2E3A">
        <w:rPr>
          <w:rFonts w:ascii="Times New Roman" w:hAnsi="Times New Roman" w:cs="Times New Roman"/>
          <w:sz w:val="28"/>
          <w:szCs w:val="28"/>
        </w:rPr>
        <w:softHyphen/>
        <w:t xml:space="preserve">-12 (emphasis added).  The Court’s opinion did not foreclose the possibility that both an objective and a subjective standard be used in determining whether the defendant knowingly sent a threat.  </w:t>
      </w:r>
      <w:r w:rsidRPr="007A2E3A">
        <w:rPr>
          <w:rFonts w:ascii="Times New Roman" w:hAnsi="Times New Roman" w:cs="Times New Roman"/>
          <w:i/>
          <w:sz w:val="28"/>
          <w:szCs w:val="28"/>
        </w:rPr>
        <w:t>Id.</w:t>
      </w:r>
      <w:r w:rsidRPr="007A2E3A">
        <w:rPr>
          <w:rFonts w:ascii="Times New Roman" w:hAnsi="Times New Roman" w:cs="Times New Roman"/>
          <w:sz w:val="28"/>
          <w:szCs w:val="28"/>
        </w:rPr>
        <w:t xml:space="preserve"> at 2012 (“Federal criminal liability generally does not turn </w:t>
      </w:r>
      <w:r w:rsidRPr="007A2E3A">
        <w:rPr>
          <w:rFonts w:ascii="Times New Roman" w:hAnsi="Times New Roman" w:cs="Times New Roman"/>
          <w:i/>
          <w:sz w:val="28"/>
          <w:szCs w:val="28"/>
        </w:rPr>
        <w:t>solely</w:t>
      </w:r>
      <w:r w:rsidRPr="007A2E3A">
        <w:rPr>
          <w:rFonts w:ascii="Times New Roman" w:hAnsi="Times New Roman" w:cs="Times New Roman"/>
          <w:sz w:val="28"/>
          <w:szCs w:val="28"/>
        </w:rPr>
        <w:t xml:space="preserve"> on the results of an act </w:t>
      </w:r>
      <w:r w:rsidRPr="007A2E3A">
        <w:rPr>
          <w:rFonts w:ascii="Times New Roman" w:hAnsi="Times New Roman" w:cs="Times New Roman"/>
          <w:i/>
          <w:sz w:val="28"/>
          <w:szCs w:val="28"/>
        </w:rPr>
        <w:t>without considering</w:t>
      </w:r>
      <w:r w:rsidRPr="007A2E3A">
        <w:rPr>
          <w:rFonts w:ascii="Times New Roman" w:hAnsi="Times New Roman" w:cs="Times New Roman"/>
          <w:sz w:val="28"/>
          <w:szCs w:val="28"/>
        </w:rPr>
        <w:t xml:space="preserve"> the defendant’s mental state.” (</w:t>
      </w:r>
      <w:proofErr w:type="gramStart"/>
      <w:r w:rsidRPr="007A2E3A">
        <w:rPr>
          <w:rFonts w:ascii="Times New Roman" w:hAnsi="Times New Roman" w:cs="Times New Roman"/>
          <w:sz w:val="28"/>
          <w:szCs w:val="28"/>
        </w:rPr>
        <w:t>emphasis</w:t>
      </w:r>
      <w:proofErr w:type="gramEnd"/>
      <w:r w:rsidRPr="007A2E3A">
        <w:rPr>
          <w:rFonts w:ascii="Times New Roman" w:hAnsi="Times New Roman" w:cs="Times New Roman"/>
          <w:sz w:val="28"/>
          <w:szCs w:val="28"/>
        </w:rPr>
        <w:t xml:space="preserve"> added)).  Thus, although the Supreme Court has made clear that the defendant’s subjective mental state must be </w:t>
      </w:r>
      <w:r w:rsidRPr="007A2E3A">
        <w:rPr>
          <w:rFonts w:ascii="Times New Roman" w:hAnsi="Times New Roman" w:cs="Times New Roman"/>
          <w:sz w:val="28"/>
          <w:szCs w:val="28"/>
        </w:rPr>
        <w:lastRenderedPageBreak/>
        <w:t xml:space="preserve">taken into account, the objective person standard remains useful in the determination of whether the defendant’s statement actually constitutes a “true threat,” as that term has been defined in prior case law.  </w:t>
      </w:r>
      <w:r w:rsidRPr="007A2E3A">
        <w:rPr>
          <w:rFonts w:ascii="Times New Roman" w:hAnsi="Times New Roman" w:cs="Times New Roman"/>
          <w:i/>
          <w:sz w:val="28"/>
          <w:szCs w:val="28"/>
        </w:rPr>
        <w:t>See e.g., United States v. Martinez</w:t>
      </w:r>
      <w:r w:rsidRPr="007A2E3A">
        <w:rPr>
          <w:rFonts w:ascii="Times New Roman" w:hAnsi="Times New Roman" w:cs="Times New Roman"/>
          <w:sz w:val="28"/>
          <w:szCs w:val="28"/>
        </w:rPr>
        <w:t xml:space="preserve">, 736 F.3d 981, 984-86 (11th Cir. 2013), </w:t>
      </w:r>
      <w:r w:rsidRPr="007A2E3A">
        <w:rPr>
          <w:rFonts w:ascii="Times New Roman" w:hAnsi="Times New Roman" w:cs="Times New Roman"/>
          <w:i/>
          <w:sz w:val="28"/>
          <w:szCs w:val="28"/>
        </w:rPr>
        <w:t>overruled on other grounds</w:t>
      </w:r>
      <w:r w:rsidRPr="007A2E3A">
        <w:rPr>
          <w:rFonts w:ascii="Times New Roman" w:hAnsi="Times New Roman" w:cs="Times New Roman"/>
          <w:sz w:val="28"/>
          <w:szCs w:val="28"/>
        </w:rPr>
        <w:t>, __ F.3d __, 2015 WL 5155225 (11th Cir. Sept. 3, 2015) (discussing</w:t>
      </w:r>
      <w:r w:rsidRPr="007A2E3A">
        <w:rPr>
          <w:rFonts w:ascii="Times New Roman" w:hAnsi="Times New Roman" w:cs="Times New Roman"/>
          <w:i/>
          <w:sz w:val="28"/>
          <w:szCs w:val="28"/>
        </w:rPr>
        <w:t xml:space="preserve"> Watts v. United States</w:t>
      </w:r>
      <w:r w:rsidRPr="007A2E3A">
        <w:rPr>
          <w:rFonts w:ascii="Times New Roman" w:hAnsi="Times New Roman" w:cs="Times New Roman"/>
          <w:sz w:val="28"/>
          <w:szCs w:val="28"/>
        </w:rPr>
        <w:t>, 394 U.S. 705 (1969) as the origin of the “true threats” doctrine).</w:t>
      </w: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r w:rsidRPr="007A2E3A">
        <w:rPr>
          <w:rFonts w:ascii="Times New Roman" w:hAnsi="Times New Roman" w:cs="Times New Roman"/>
          <w:sz w:val="28"/>
          <w:szCs w:val="28"/>
        </w:rPr>
        <w:t xml:space="preserve">In </w:t>
      </w:r>
      <w:r w:rsidRPr="007A2E3A">
        <w:rPr>
          <w:rFonts w:ascii="Times New Roman" w:hAnsi="Times New Roman" w:cs="Times New Roman"/>
          <w:i/>
          <w:iCs/>
          <w:sz w:val="28"/>
          <w:szCs w:val="28"/>
        </w:rPr>
        <w:t>United States v. Evans</w:t>
      </w:r>
      <w:r w:rsidRPr="007A2E3A">
        <w:rPr>
          <w:rFonts w:ascii="Times New Roman" w:hAnsi="Times New Roman" w:cs="Times New Roman"/>
          <w:sz w:val="28"/>
          <w:szCs w:val="28"/>
        </w:rPr>
        <w:t>, 478 F.3d 1332 (11th Cir. 2007), the Court of Appeals considered and rejected the argument that the “threat to injure” language contained in § 876(c) included only future threats. The Eleventh Circuit joined the Second, Third, and Fifth Circuits in holding that a future threat is not necessary and that the statute also applied to immediate threats of harm.</w:t>
      </w:r>
    </w:p>
    <w:p w:rsidR="00037837" w:rsidRPr="007A2E3A" w:rsidRDefault="00037837" w:rsidP="00037837">
      <w:pPr>
        <w:autoSpaceDE w:val="0"/>
        <w:autoSpaceDN w:val="0"/>
        <w:adjustRightInd w:val="0"/>
        <w:spacing w:after="0" w:line="240" w:lineRule="auto"/>
        <w:jc w:val="both"/>
        <w:rPr>
          <w:rFonts w:ascii="Times New Roman" w:hAnsi="Times New Roman" w:cs="Times New Roman"/>
          <w:sz w:val="28"/>
          <w:szCs w:val="28"/>
        </w:rPr>
      </w:pPr>
    </w:p>
    <w:p w:rsidR="0071663B" w:rsidRDefault="00037837" w:rsidP="00037837">
      <w:r w:rsidRPr="007A2E3A">
        <w:rPr>
          <w:rFonts w:ascii="Times New Roman" w:hAnsi="Times New Roman" w:cs="Times New Roman"/>
          <w:sz w:val="28"/>
          <w:szCs w:val="28"/>
        </w:rPr>
        <w:t>This subsection, like its counterpart § 875(c), does not require an intent to extort.</w:t>
      </w:r>
      <w:bookmarkStart w:id="0" w:name="_GoBack"/>
      <w:bookmarkEnd w:id="0"/>
    </w:p>
    <w:sectPr w:rsidR="00716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837"/>
    <w:rsid w:val="00037837"/>
    <w:rsid w:val="00716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83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83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2890</Characters>
  <Application>Microsoft Office Word</Application>
  <DocSecurity>0</DocSecurity>
  <Lines>68</Lines>
  <Paragraphs>22</Paragraphs>
  <ScaleCrop>false</ScaleCrop>
  <HeadingPairs>
    <vt:vector size="2" baseType="variant">
      <vt:variant>
        <vt:lpstr>Title</vt:lpstr>
      </vt:variant>
      <vt:variant>
        <vt:i4>1</vt:i4>
      </vt:variant>
    </vt:vector>
  </HeadingPairs>
  <TitlesOfParts>
    <vt:vector size="1" baseType="lpstr">
      <vt:lpstr/>
    </vt:vector>
  </TitlesOfParts>
  <Company>us court of appeals</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Baker</dc:creator>
  <cp:lastModifiedBy>Wendy Baker</cp:lastModifiedBy>
  <cp:revision>1</cp:revision>
  <dcterms:created xsi:type="dcterms:W3CDTF">2016-02-05T23:49:00Z</dcterms:created>
  <dcterms:modified xsi:type="dcterms:W3CDTF">2016-02-05T23:50:00Z</dcterms:modified>
</cp:coreProperties>
</file>