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26D6" w:rsidRPr="00795840" w:rsidRDefault="00A626D6" w:rsidP="00A626D6">
      <w:pPr>
        <w:autoSpaceDE w:val="0"/>
        <w:autoSpaceDN w:val="0"/>
        <w:adjustRightInd w:val="0"/>
        <w:spacing w:after="0" w:line="240" w:lineRule="auto"/>
        <w:rPr>
          <w:rFonts w:ascii="Times New Roman" w:hAnsi="Times New Roman" w:cs="Times New Roman"/>
          <w:b/>
          <w:bCs/>
          <w:sz w:val="28"/>
          <w:szCs w:val="28"/>
        </w:rPr>
      </w:pPr>
      <w:r w:rsidRPr="00795840">
        <w:rPr>
          <w:rFonts w:ascii="Times New Roman" w:hAnsi="Times New Roman" w:cs="Times New Roman"/>
          <w:b/>
          <w:bCs/>
          <w:sz w:val="28"/>
          <w:szCs w:val="28"/>
        </w:rPr>
        <w:t>ANNOTATIONS AND COMMENTS</w:t>
      </w:r>
    </w:p>
    <w:p w:rsidR="00A626D6" w:rsidRPr="00795840" w:rsidRDefault="00A626D6" w:rsidP="00A626D6">
      <w:pPr>
        <w:autoSpaceDE w:val="0"/>
        <w:autoSpaceDN w:val="0"/>
        <w:adjustRightInd w:val="0"/>
        <w:spacing w:after="0" w:line="240" w:lineRule="auto"/>
        <w:rPr>
          <w:rFonts w:ascii="Times New Roman" w:hAnsi="Times New Roman" w:cs="Times New Roman"/>
          <w:sz w:val="28"/>
          <w:szCs w:val="28"/>
        </w:rPr>
      </w:pPr>
    </w:p>
    <w:p w:rsidR="00A626D6" w:rsidRPr="00795840" w:rsidRDefault="00A626D6" w:rsidP="00A626D6">
      <w:pPr>
        <w:autoSpaceDE w:val="0"/>
        <w:autoSpaceDN w:val="0"/>
        <w:adjustRightInd w:val="0"/>
        <w:spacing w:after="0" w:line="240" w:lineRule="auto"/>
        <w:jc w:val="both"/>
        <w:rPr>
          <w:rFonts w:ascii="Times New Roman" w:hAnsi="Times New Roman" w:cs="Times New Roman"/>
          <w:sz w:val="28"/>
          <w:szCs w:val="28"/>
        </w:rPr>
      </w:pPr>
      <w:r w:rsidRPr="00795840">
        <w:rPr>
          <w:rFonts w:ascii="Times New Roman" w:hAnsi="Times New Roman" w:cs="Times New Roman"/>
          <w:sz w:val="28"/>
          <w:szCs w:val="28"/>
        </w:rPr>
        <w:t>18 U.S.C. § 876(d) provides that:</w:t>
      </w:r>
    </w:p>
    <w:p w:rsidR="00A626D6" w:rsidRPr="00795840" w:rsidRDefault="00A626D6" w:rsidP="00A626D6">
      <w:pPr>
        <w:autoSpaceDE w:val="0"/>
        <w:autoSpaceDN w:val="0"/>
        <w:adjustRightInd w:val="0"/>
        <w:spacing w:after="0" w:line="240" w:lineRule="auto"/>
        <w:jc w:val="both"/>
        <w:rPr>
          <w:rFonts w:ascii="Times New Roman" w:hAnsi="Times New Roman" w:cs="Times New Roman"/>
          <w:sz w:val="28"/>
          <w:szCs w:val="28"/>
        </w:rPr>
      </w:pPr>
    </w:p>
    <w:p w:rsidR="00A626D6" w:rsidRPr="00795840" w:rsidRDefault="00A626D6" w:rsidP="00A626D6">
      <w:pPr>
        <w:autoSpaceDE w:val="0"/>
        <w:autoSpaceDN w:val="0"/>
        <w:adjustRightInd w:val="0"/>
        <w:spacing w:after="0" w:line="240" w:lineRule="auto"/>
        <w:ind w:left="720" w:right="720"/>
        <w:jc w:val="both"/>
        <w:rPr>
          <w:rFonts w:ascii="Times New Roman" w:hAnsi="Times New Roman" w:cs="Times New Roman"/>
          <w:sz w:val="28"/>
          <w:szCs w:val="28"/>
        </w:rPr>
      </w:pPr>
      <w:r w:rsidRPr="00795840">
        <w:rPr>
          <w:rFonts w:ascii="Times New Roman" w:hAnsi="Times New Roman" w:cs="Times New Roman"/>
          <w:sz w:val="28"/>
          <w:szCs w:val="28"/>
        </w:rPr>
        <w:t>Whoever, with intent to extort from any person any money or other thing of value, knowingly [</w:t>
      </w:r>
      <w:r w:rsidRPr="00795840">
        <w:rPr>
          <w:rFonts w:ascii="Times New Roman" w:hAnsi="Times New Roman" w:cs="Times New Roman"/>
          <w:color w:val="252525"/>
          <w:sz w:val="28"/>
          <w:szCs w:val="28"/>
        </w:rPr>
        <w:t>deposits in any post office or authorized depository for mail matter, to be sent or delivered by the Postal Service or knowingly causes to be delivered by the Postal Service according to the direction thereon]</w:t>
      </w:r>
      <w:r w:rsidRPr="00795840">
        <w:rPr>
          <w:rFonts w:ascii="Times New Roman" w:hAnsi="Times New Roman" w:cs="Times New Roman"/>
          <w:sz w:val="28"/>
          <w:szCs w:val="28"/>
        </w:rPr>
        <w:t>, any communication, with or without a name or designating mark subscribed thereto, addressed to any other person and containing any threat to injure the property or reputation of the addressee or of another, or the reputation of a deceased person, or any threat to accuse the addressee or any other person of a crime [shall be guilty of an offense against the United States].</w:t>
      </w:r>
    </w:p>
    <w:p w:rsidR="00A626D6" w:rsidRPr="00795840" w:rsidRDefault="00A626D6" w:rsidP="00A626D6">
      <w:pPr>
        <w:autoSpaceDE w:val="0"/>
        <w:autoSpaceDN w:val="0"/>
        <w:adjustRightInd w:val="0"/>
        <w:spacing w:after="0" w:line="240" w:lineRule="auto"/>
        <w:jc w:val="both"/>
        <w:rPr>
          <w:rFonts w:ascii="Times New Roman" w:hAnsi="Times New Roman" w:cs="Times New Roman"/>
          <w:sz w:val="28"/>
          <w:szCs w:val="28"/>
        </w:rPr>
      </w:pPr>
    </w:p>
    <w:p w:rsidR="00A626D6" w:rsidRPr="00795840" w:rsidRDefault="00A626D6" w:rsidP="00A626D6">
      <w:pPr>
        <w:autoSpaceDE w:val="0"/>
        <w:autoSpaceDN w:val="0"/>
        <w:adjustRightInd w:val="0"/>
        <w:spacing w:after="0" w:line="240" w:lineRule="auto"/>
        <w:jc w:val="both"/>
        <w:rPr>
          <w:rFonts w:ascii="Times New Roman" w:hAnsi="Times New Roman" w:cs="Times New Roman"/>
          <w:sz w:val="28"/>
          <w:szCs w:val="28"/>
        </w:rPr>
      </w:pPr>
      <w:r w:rsidRPr="00795840">
        <w:rPr>
          <w:rFonts w:ascii="Times New Roman" w:hAnsi="Times New Roman" w:cs="Times New Roman"/>
          <w:sz w:val="28"/>
          <w:szCs w:val="28"/>
        </w:rPr>
        <w:t>Maximum Penalty: Up to ten (10) years imprisonment (if the addressee is a United</w:t>
      </w:r>
    </w:p>
    <w:p w:rsidR="00A626D6" w:rsidRPr="00795840" w:rsidRDefault="00A626D6" w:rsidP="00A626D6">
      <w:pPr>
        <w:autoSpaceDE w:val="0"/>
        <w:autoSpaceDN w:val="0"/>
        <w:adjustRightInd w:val="0"/>
        <w:spacing w:after="0" w:line="240" w:lineRule="auto"/>
        <w:jc w:val="both"/>
        <w:rPr>
          <w:rFonts w:ascii="Times New Roman" w:hAnsi="Times New Roman" w:cs="Times New Roman"/>
          <w:sz w:val="28"/>
          <w:szCs w:val="28"/>
        </w:rPr>
      </w:pPr>
      <w:proofErr w:type="gramStart"/>
      <w:r w:rsidRPr="00795840">
        <w:rPr>
          <w:rFonts w:ascii="Times New Roman" w:hAnsi="Times New Roman" w:cs="Times New Roman"/>
          <w:sz w:val="28"/>
          <w:szCs w:val="28"/>
        </w:rPr>
        <w:t>States judge or federal officer/official) and applicable fine.</w:t>
      </w:r>
      <w:proofErr w:type="gramEnd"/>
    </w:p>
    <w:p w:rsidR="00A626D6" w:rsidRPr="00795840" w:rsidRDefault="00A626D6" w:rsidP="00A626D6">
      <w:pPr>
        <w:autoSpaceDE w:val="0"/>
        <w:autoSpaceDN w:val="0"/>
        <w:adjustRightInd w:val="0"/>
        <w:spacing w:after="0" w:line="240" w:lineRule="auto"/>
        <w:jc w:val="both"/>
        <w:rPr>
          <w:rFonts w:ascii="Times New Roman" w:hAnsi="Times New Roman" w:cs="Times New Roman"/>
          <w:sz w:val="28"/>
          <w:szCs w:val="28"/>
        </w:rPr>
      </w:pPr>
    </w:p>
    <w:p w:rsidR="00A626D6" w:rsidRPr="00795840" w:rsidRDefault="00A626D6" w:rsidP="00A626D6">
      <w:pPr>
        <w:autoSpaceDE w:val="0"/>
        <w:autoSpaceDN w:val="0"/>
        <w:adjustRightInd w:val="0"/>
        <w:spacing w:after="0" w:line="240" w:lineRule="auto"/>
        <w:jc w:val="both"/>
        <w:rPr>
          <w:rFonts w:ascii="Times New Roman" w:hAnsi="Times New Roman" w:cs="Times New Roman"/>
          <w:sz w:val="28"/>
          <w:szCs w:val="28"/>
        </w:rPr>
      </w:pPr>
      <w:r w:rsidRPr="00795840">
        <w:rPr>
          <w:rFonts w:ascii="Times New Roman" w:hAnsi="Times New Roman" w:cs="Times New Roman"/>
          <w:sz w:val="28"/>
          <w:szCs w:val="28"/>
        </w:rPr>
        <w:t xml:space="preserve">This instruction is unaltered by the Supreme Court’s decision in </w:t>
      </w:r>
      <w:r w:rsidRPr="00795840">
        <w:rPr>
          <w:rFonts w:ascii="Times New Roman" w:hAnsi="Times New Roman" w:cs="Times New Roman"/>
          <w:i/>
          <w:sz w:val="28"/>
          <w:szCs w:val="28"/>
        </w:rPr>
        <w:t>Elonis v. United States</w:t>
      </w:r>
      <w:r w:rsidRPr="00795840">
        <w:rPr>
          <w:rFonts w:ascii="Times New Roman" w:hAnsi="Times New Roman" w:cs="Times New Roman"/>
          <w:sz w:val="28"/>
          <w:szCs w:val="28"/>
        </w:rPr>
        <w:t xml:space="preserve">, 575 U.S. __, 135 S. Ct. 2001 (2015), because in addition to the objective standard contained in the definition of “true threat,” this instruction requires that the defendant’s subjective mental state be considered.  </w:t>
      </w:r>
    </w:p>
    <w:p w:rsidR="00A626D6" w:rsidRPr="00795840" w:rsidRDefault="00A626D6" w:rsidP="00A626D6">
      <w:pPr>
        <w:autoSpaceDE w:val="0"/>
        <w:autoSpaceDN w:val="0"/>
        <w:adjustRightInd w:val="0"/>
        <w:spacing w:after="0" w:line="240" w:lineRule="auto"/>
        <w:jc w:val="both"/>
        <w:rPr>
          <w:rFonts w:ascii="Times New Roman" w:hAnsi="Times New Roman" w:cs="Times New Roman"/>
          <w:sz w:val="28"/>
          <w:szCs w:val="28"/>
        </w:rPr>
      </w:pPr>
    </w:p>
    <w:p w:rsidR="00A626D6" w:rsidRPr="00795840" w:rsidRDefault="00A626D6" w:rsidP="00A626D6">
      <w:pPr>
        <w:autoSpaceDE w:val="0"/>
        <w:autoSpaceDN w:val="0"/>
        <w:adjustRightInd w:val="0"/>
        <w:spacing w:after="0" w:line="240" w:lineRule="auto"/>
        <w:jc w:val="both"/>
        <w:rPr>
          <w:rFonts w:ascii="Times New Roman" w:hAnsi="Times New Roman" w:cs="Times New Roman"/>
          <w:sz w:val="28"/>
          <w:szCs w:val="28"/>
        </w:rPr>
      </w:pPr>
      <w:r w:rsidRPr="00795840">
        <w:rPr>
          <w:rFonts w:ascii="Times New Roman" w:hAnsi="Times New Roman" w:cs="Times New Roman"/>
          <w:sz w:val="28"/>
          <w:szCs w:val="28"/>
        </w:rPr>
        <w:t xml:space="preserve">Although certain prior Eleventh Circuit cases that defined “true threat” have now been overruled in light of </w:t>
      </w:r>
      <w:r w:rsidRPr="00795840">
        <w:rPr>
          <w:rFonts w:ascii="Times New Roman" w:hAnsi="Times New Roman" w:cs="Times New Roman"/>
          <w:i/>
          <w:sz w:val="28"/>
          <w:szCs w:val="28"/>
        </w:rPr>
        <w:t xml:space="preserve">Elonis </w:t>
      </w:r>
      <w:r w:rsidRPr="00795840">
        <w:rPr>
          <w:rFonts w:ascii="Times New Roman" w:hAnsi="Times New Roman" w:cs="Times New Roman"/>
          <w:sz w:val="28"/>
          <w:szCs w:val="28"/>
        </w:rPr>
        <w:t xml:space="preserve">for the failure to consider the defendant’s subjective mental state, the objective person standard remains useful in the determination of whether the defendant’s statement actually constitutes a “true threat,” as that term has been defined in prior case law.  </w:t>
      </w:r>
      <w:r w:rsidRPr="00795840">
        <w:rPr>
          <w:rFonts w:ascii="Times New Roman" w:hAnsi="Times New Roman" w:cs="Times New Roman"/>
          <w:i/>
          <w:sz w:val="28"/>
          <w:szCs w:val="28"/>
        </w:rPr>
        <w:t>See e.g., United States v. Martinez</w:t>
      </w:r>
      <w:r w:rsidRPr="00795840">
        <w:rPr>
          <w:rFonts w:ascii="Times New Roman" w:hAnsi="Times New Roman" w:cs="Times New Roman"/>
          <w:sz w:val="28"/>
          <w:szCs w:val="28"/>
        </w:rPr>
        <w:t xml:space="preserve">, 736 F.3d 981, 984-86 (11th Cir. 2013), </w:t>
      </w:r>
      <w:r w:rsidRPr="00795840">
        <w:rPr>
          <w:rFonts w:ascii="Times New Roman" w:hAnsi="Times New Roman" w:cs="Times New Roman"/>
          <w:i/>
          <w:sz w:val="28"/>
          <w:szCs w:val="28"/>
        </w:rPr>
        <w:t>overruled on other grounds</w:t>
      </w:r>
      <w:r w:rsidRPr="00795840">
        <w:rPr>
          <w:rFonts w:ascii="Times New Roman" w:hAnsi="Times New Roman" w:cs="Times New Roman"/>
          <w:sz w:val="28"/>
          <w:szCs w:val="28"/>
        </w:rPr>
        <w:t>, __ F.3d __, 2015 WL 5155225 (11th Cir. Sept. 3, 2015) (discussing</w:t>
      </w:r>
      <w:r w:rsidRPr="00795840">
        <w:rPr>
          <w:rFonts w:ascii="Times New Roman" w:hAnsi="Times New Roman" w:cs="Times New Roman"/>
          <w:i/>
          <w:sz w:val="28"/>
          <w:szCs w:val="28"/>
        </w:rPr>
        <w:t xml:space="preserve"> Watts v. United States</w:t>
      </w:r>
      <w:r w:rsidRPr="00795840">
        <w:rPr>
          <w:rFonts w:ascii="Times New Roman" w:hAnsi="Times New Roman" w:cs="Times New Roman"/>
          <w:sz w:val="28"/>
          <w:szCs w:val="28"/>
        </w:rPr>
        <w:t>, 394 U.S. 705 (1969) as the origin of the “true threats” doctrine).</w:t>
      </w:r>
    </w:p>
    <w:p w:rsidR="00A626D6" w:rsidRPr="00795840" w:rsidRDefault="00A626D6" w:rsidP="00A626D6">
      <w:pPr>
        <w:autoSpaceDE w:val="0"/>
        <w:autoSpaceDN w:val="0"/>
        <w:adjustRightInd w:val="0"/>
        <w:spacing w:after="0" w:line="240" w:lineRule="auto"/>
        <w:jc w:val="both"/>
        <w:rPr>
          <w:rFonts w:ascii="Times New Roman" w:hAnsi="Times New Roman" w:cs="Times New Roman"/>
          <w:sz w:val="28"/>
          <w:szCs w:val="28"/>
        </w:rPr>
      </w:pPr>
    </w:p>
    <w:p w:rsidR="00A626D6" w:rsidRPr="00795840" w:rsidRDefault="00A626D6" w:rsidP="00A626D6">
      <w:pPr>
        <w:autoSpaceDE w:val="0"/>
        <w:autoSpaceDN w:val="0"/>
        <w:adjustRightInd w:val="0"/>
        <w:spacing w:after="0" w:line="240" w:lineRule="auto"/>
        <w:jc w:val="both"/>
        <w:rPr>
          <w:rFonts w:ascii="Times New Roman" w:hAnsi="Times New Roman" w:cs="Times New Roman"/>
          <w:sz w:val="28"/>
          <w:szCs w:val="28"/>
        </w:rPr>
      </w:pPr>
      <w:r w:rsidRPr="00795840">
        <w:rPr>
          <w:rFonts w:ascii="Times New Roman" w:hAnsi="Times New Roman" w:cs="Times New Roman"/>
          <w:sz w:val="28"/>
          <w:szCs w:val="28"/>
        </w:rPr>
        <w:t xml:space="preserve">In </w:t>
      </w:r>
      <w:r w:rsidRPr="00795840">
        <w:rPr>
          <w:rFonts w:ascii="Times New Roman" w:hAnsi="Times New Roman" w:cs="Times New Roman"/>
          <w:i/>
          <w:iCs/>
          <w:sz w:val="28"/>
          <w:szCs w:val="28"/>
        </w:rPr>
        <w:t>United States v. Evans</w:t>
      </w:r>
      <w:r w:rsidRPr="00795840">
        <w:rPr>
          <w:rFonts w:ascii="Times New Roman" w:hAnsi="Times New Roman" w:cs="Times New Roman"/>
          <w:sz w:val="28"/>
          <w:szCs w:val="28"/>
        </w:rPr>
        <w:t xml:space="preserve">, 478 F.3d 1332 (11th Cir. 2007), the Court of Appeals considered and rejected the argument that the “threat to injure” language contained in 18 U.S.C. § 876(c) (which deals with mailing threatening communications) included only future threats. The Eleventh Circuit joined the Second, Third, and Fifth Circuits in holding that a future threat is not necessary and that the statute also applied to immediate threats of harm. </w:t>
      </w:r>
    </w:p>
    <w:p w:rsidR="00A626D6" w:rsidRPr="00795840" w:rsidRDefault="00A626D6" w:rsidP="00A626D6">
      <w:pPr>
        <w:autoSpaceDE w:val="0"/>
        <w:autoSpaceDN w:val="0"/>
        <w:adjustRightInd w:val="0"/>
        <w:spacing w:after="0" w:line="240" w:lineRule="auto"/>
        <w:jc w:val="both"/>
        <w:rPr>
          <w:rFonts w:ascii="Times New Roman" w:hAnsi="Times New Roman" w:cs="Times New Roman"/>
          <w:sz w:val="28"/>
          <w:szCs w:val="28"/>
        </w:rPr>
      </w:pPr>
    </w:p>
    <w:p w:rsidR="0071663B" w:rsidRDefault="00A626D6" w:rsidP="00A626D6">
      <w:pPr>
        <w:autoSpaceDE w:val="0"/>
        <w:autoSpaceDN w:val="0"/>
        <w:adjustRightInd w:val="0"/>
        <w:spacing w:after="0" w:line="240" w:lineRule="auto"/>
        <w:jc w:val="both"/>
      </w:pPr>
      <w:r w:rsidRPr="00795840">
        <w:rPr>
          <w:rFonts w:ascii="Times New Roman" w:hAnsi="Times New Roman" w:cs="Times New Roman"/>
          <w:sz w:val="28"/>
          <w:szCs w:val="28"/>
        </w:rPr>
        <w:lastRenderedPageBreak/>
        <w:t xml:space="preserve">Under </w:t>
      </w:r>
      <w:r w:rsidRPr="00795840">
        <w:rPr>
          <w:rFonts w:ascii="Times New Roman" w:hAnsi="Times New Roman" w:cs="Times New Roman"/>
          <w:i/>
          <w:iCs/>
          <w:sz w:val="28"/>
          <w:szCs w:val="28"/>
        </w:rPr>
        <w:t>United States v. Nilsen</w:t>
      </w:r>
      <w:r w:rsidRPr="00795840">
        <w:rPr>
          <w:rFonts w:ascii="Times New Roman" w:hAnsi="Times New Roman" w:cs="Times New Roman"/>
          <w:sz w:val="28"/>
          <w:szCs w:val="28"/>
        </w:rPr>
        <w:t>, 967 F.2d 539, 543 (11th Cir. 1992), “thing of value” is a clearly defined term that includes both tangibles and intangibles.</w:t>
      </w:r>
      <w:bookmarkStart w:id="0" w:name="_GoBack"/>
      <w:bookmarkEnd w:id="0"/>
    </w:p>
    <w:sectPr w:rsidR="007166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6D6"/>
    <w:rsid w:val="0071663B"/>
    <w:rsid w:val="00A62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6D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6D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399</Words>
  <Characters>2040</Characters>
  <Application>Microsoft Office Word</Application>
  <DocSecurity>0</DocSecurity>
  <Lines>48</Lines>
  <Paragraphs>15</Paragraphs>
  <ScaleCrop>false</ScaleCrop>
  <HeadingPairs>
    <vt:vector size="2" baseType="variant">
      <vt:variant>
        <vt:lpstr>Title</vt:lpstr>
      </vt:variant>
      <vt:variant>
        <vt:i4>1</vt:i4>
      </vt:variant>
    </vt:vector>
  </HeadingPairs>
  <TitlesOfParts>
    <vt:vector size="1" baseType="lpstr">
      <vt:lpstr/>
    </vt:vector>
  </TitlesOfParts>
  <Company>us court of appeals</Company>
  <LinksUpToDate>false</LinksUpToDate>
  <CharactersWithSpaces>2424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Baker</dc:creator>
  <cp:lastModifiedBy>Wendy Baker</cp:lastModifiedBy>
  <cp:revision>1</cp:revision>
  <dcterms:created xsi:type="dcterms:W3CDTF">2016-02-05T23:50:00Z</dcterms:created>
  <dcterms:modified xsi:type="dcterms:W3CDTF">2016-02-05T23:50:00Z</dcterms:modified>
</cp:coreProperties>
</file>