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6939B5" w14:textId="77777777" w:rsidR="00EE20A7" w:rsidRPr="00503874" w:rsidRDefault="00EE20A7" w:rsidP="009046AE">
      <w:pPr>
        <w:spacing w:after="0" w:line="240" w:lineRule="auto"/>
        <w:rPr>
          <w:rFonts w:ascii="Times New Roman" w:eastAsia="Arial" w:hAnsi="Times New Roman"/>
          <w:sz w:val="26"/>
          <w:szCs w:val="26"/>
        </w:rPr>
      </w:pPr>
      <w:r w:rsidRPr="00503874">
        <w:rPr>
          <w:rFonts w:ascii="Times New Roman" w:eastAsia="Arial" w:hAnsi="Times New Roman"/>
          <w:b/>
          <w:sz w:val="26"/>
          <w:szCs w:val="26"/>
          <w:u w:val="single"/>
        </w:rPr>
        <w:t>ANNOTATIONS AND COMMENTS</w:t>
      </w:r>
    </w:p>
    <w:p w14:paraId="27D7BACF" w14:textId="77777777" w:rsidR="00EE20A7" w:rsidRPr="00503874" w:rsidRDefault="00EE20A7" w:rsidP="00EE20A7">
      <w:pPr>
        <w:spacing w:after="0" w:line="240" w:lineRule="auto"/>
        <w:jc w:val="both"/>
        <w:rPr>
          <w:rFonts w:ascii="Times New Roman" w:eastAsia="Arial" w:hAnsi="Times New Roman"/>
          <w:sz w:val="26"/>
          <w:szCs w:val="26"/>
        </w:rPr>
      </w:pPr>
    </w:p>
    <w:p w14:paraId="4C504665" w14:textId="44E423E9" w:rsidR="00EE20A7" w:rsidRPr="00503874" w:rsidRDefault="00EE20A7" w:rsidP="00746A06">
      <w:pPr>
        <w:spacing w:line="240" w:lineRule="auto"/>
        <w:jc w:val="both"/>
        <w:rPr>
          <w:rFonts w:ascii="Times New Roman" w:eastAsia="Arial" w:hAnsi="Times New Roman"/>
          <w:sz w:val="26"/>
          <w:szCs w:val="26"/>
        </w:rPr>
      </w:pPr>
      <w:r w:rsidRPr="00503874">
        <w:rPr>
          <w:rFonts w:ascii="Times New Roman" w:eastAsia="Arial" w:hAnsi="Times New Roman"/>
          <w:sz w:val="26"/>
          <w:szCs w:val="26"/>
        </w:rPr>
        <w:t xml:space="preserve">18 U.S.C. </w:t>
      </w:r>
      <w:r w:rsidRPr="00503874">
        <w:rPr>
          <w:rFonts w:ascii="Times New Roman" w:eastAsia="Arial" w:hAnsi="Times New Roman" w:cs="Times New Roman"/>
          <w:sz w:val="26"/>
          <w:szCs w:val="26"/>
        </w:rPr>
        <w:t>§</w:t>
      </w:r>
      <w:r w:rsidRPr="00503874">
        <w:rPr>
          <w:rFonts w:ascii="Times New Roman" w:eastAsia="Arial" w:hAnsi="Times New Roman"/>
          <w:sz w:val="26"/>
          <w:szCs w:val="26"/>
        </w:rPr>
        <w:t xml:space="preserve"> 922</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5 \s 7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1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prov</w:t>
      </w:r>
      <w:r w:rsidR="00746A06">
        <w:rPr>
          <w:rFonts w:ascii="Times New Roman" w:eastAsia="Arial" w:hAnsi="Times New Roman"/>
          <w:sz w:val="26"/>
          <w:szCs w:val="26"/>
        </w:rPr>
        <w:t>id</w:t>
      </w:r>
      <w:r w:rsidRPr="00503874">
        <w:rPr>
          <w:rFonts w:ascii="Times New Roman" w:eastAsia="Arial" w:hAnsi="Times New Roman"/>
          <w:sz w:val="26"/>
          <w:szCs w:val="26"/>
        </w:rPr>
        <w:t>es:</w:t>
      </w:r>
    </w:p>
    <w:p w14:paraId="061221F1" w14:textId="30CEDCCB" w:rsidR="00EE20A7" w:rsidRPr="00503874" w:rsidRDefault="00EE20A7" w:rsidP="00746A06">
      <w:pPr>
        <w:spacing w:line="240" w:lineRule="auto"/>
        <w:ind w:left="360" w:right="360" w:firstLine="360"/>
        <w:jc w:val="both"/>
        <w:rPr>
          <w:rFonts w:ascii="Times New Roman" w:eastAsia="Arial" w:hAnsi="Times New Roman"/>
          <w:sz w:val="26"/>
          <w:szCs w:val="26"/>
        </w:rPr>
      </w:pP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5 \s 7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It shall be unlawful for any person - -</w:t>
      </w:r>
    </w:p>
    <w:p w14:paraId="00ECEE45" w14:textId="5536C275" w:rsidR="00EE20A7" w:rsidRPr="00503874" w:rsidRDefault="00EE20A7" w:rsidP="00746A06">
      <w:pPr>
        <w:spacing w:line="240" w:lineRule="auto"/>
        <w:ind w:left="720" w:right="720" w:firstLine="360"/>
        <w:jc w:val="both"/>
        <w:rPr>
          <w:rFonts w:ascii="Times New Roman" w:eastAsia="Arial" w:hAnsi="Times New Roman"/>
          <w:sz w:val="26"/>
          <w:szCs w:val="26"/>
        </w:rPr>
      </w:pP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1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who has been convicted in any court of a crime punishable by imprisonment for a term exceeding one year… to ship or transport in interstate or foreign commerce, or possess in or affecting commerce, any firearm or ammunition; or to receive any firearm or ammunition which has been shipped or transported in interstate or foreign commerce.</w:t>
      </w:r>
    </w:p>
    <w:p w14:paraId="15FE2E91" w14:textId="4E6BF38B" w:rsidR="00EE20A7" w:rsidRPr="00503874" w:rsidRDefault="00EE20A7" w:rsidP="00EE20A7">
      <w:pPr>
        <w:spacing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Maximum Penalty: Ten </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4 \s 10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years</w:t>
      </w:r>
      <w:r>
        <w:rPr>
          <w:rFonts w:ascii="Times New Roman" w:eastAsia="Arial" w:hAnsi="Times New Roman" w:cs="Times New Roman"/>
          <w:sz w:val="26"/>
          <w:szCs w:val="26"/>
        </w:rPr>
        <w:t>’</w:t>
      </w:r>
      <w:r w:rsidRPr="00503874">
        <w:rPr>
          <w:rFonts w:ascii="Times New Roman" w:eastAsia="Arial" w:hAnsi="Times New Roman" w:cs="Times New Roman"/>
          <w:sz w:val="26"/>
          <w:szCs w:val="26"/>
        </w:rPr>
        <w:t xml:space="preserve"> imprisonment and applicable fine. However, under the Armed Career Criminal Act, if a Defendant violates § 922</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5 \s 7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and has three previous convictions for a violent felony or a serious drug offense, or both, committed on occasions different from one another, such person shall be fined and i</w:t>
      </w:r>
      <w:r>
        <w:rPr>
          <w:rFonts w:ascii="Times New Roman" w:eastAsia="Arial" w:hAnsi="Times New Roman" w:cs="Times New Roman"/>
          <w:sz w:val="26"/>
          <w:szCs w:val="26"/>
        </w:rPr>
        <w:t>mprisoned for not less than</w:t>
      </w:r>
      <w:r w:rsidRPr="00503874">
        <w:rPr>
          <w:rFonts w:ascii="Times New Roman" w:eastAsia="Arial" w:hAnsi="Times New Roman" w:cs="Times New Roman"/>
          <w:sz w:val="26"/>
          <w:szCs w:val="26"/>
        </w:rPr>
        <w:t xml:space="preserve"> fifteen </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4 \s 15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years. </w:t>
      </w:r>
      <w:r w:rsidRPr="00930B11">
        <w:rPr>
          <w:rFonts w:ascii="Times New Roman" w:eastAsia="Arial" w:hAnsi="Times New Roman" w:cs="Times New Roman"/>
          <w:i/>
          <w:sz w:val="26"/>
          <w:szCs w:val="26"/>
        </w:rPr>
        <w:t>See</w:t>
      </w:r>
      <w:r w:rsidRPr="00503874">
        <w:rPr>
          <w:rFonts w:ascii="Times New Roman" w:eastAsia="Arial" w:hAnsi="Times New Roman" w:cs="Times New Roman"/>
          <w:sz w:val="26"/>
          <w:szCs w:val="26"/>
        </w:rPr>
        <w:t xml:space="preserve"> 18 U.S.C. § 924</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5 \s 5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4 \s 1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For what may be included as a “violent felony,” </w:t>
      </w:r>
      <w:r w:rsidRPr="00930B11">
        <w:rPr>
          <w:rFonts w:ascii="Times New Roman" w:eastAsia="Arial" w:hAnsi="Times New Roman" w:cs="Times New Roman"/>
          <w:i/>
          <w:sz w:val="26"/>
          <w:szCs w:val="26"/>
        </w:rPr>
        <w:t>see Begay v. United States</w:t>
      </w:r>
      <w:r w:rsidRPr="00503874">
        <w:rPr>
          <w:rFonts w:ascii="Times New Roman" w:eastAsia="Arial" w:hAnsi="Times New Roman" w:cs="Times New Roman"/>
          <w:sz w:val="26"/>
          <w:szCs w:val="26"/>
        </w:rPr>
        <w:t>, 553 U.S. 137, 128 S. Ct. 1581, 170 L.</w:t>
      </w:r>
      <w:r>
        <w:rPr>
          <w:rFonts w:ascii="Times New Roman" w:eastAsia="Arial" w:hAnsi="Times New Roman" w:cs="Times New Roman"/>
          <w:sz w:val="26"/>
          <w:szCs w:val="26"/>
        </w:rPr>
        <w:t xml:space="preserve"> </w:t>
      </w:r>
      <w:r w:rsidRPr="00503874">
        <w:rPr>
          <w:rFonts w:ascii="Times New Roman" w:eastAsia="Arial" w:hAnsi="Times New Roman" w:cs="Times New Roman"/>
          <w:sz w:val="26"/>
          <w:szCs w:val="26"/>
        </w:rPr>
        <w:t>Ed.</w:t>
      </w:r>
      <w:r>
        <w:rPr>
          <w:rFonts w:ascii="Times New Roman" w:eastAsia="Arial" w:hAnsi="Times New Roman" w:cs="Times New Roman"/>
          <w:sz w:val="26"/>
          <w:szCs w:val="26"/>
        </w:rPr>
        <w:t xml:space="preserve"> </w:t>
      </w:r>
      <w:r w:rsidRPr="00503874">
        <w:rPr>
          <w:rFonts w:ascii="Times New Roman" w:eastAsia="Arial" w:hAnsi="Times New Roman" w:cs="Times New Roman"/>
          <w:sz w:val="26"/>
          <w:szCs w:val="26"/>
        </w:rPr>
        <w:t>2d 490 (2008) (driving under the influence is not a “violent felony”)</w:t>
      </w:r>
      <w:r>
        <w:rPr>
          <w:rFonts w:ascii="Times New Roman" w:eastAsia="Arial" w:hAnsi="Times New Roman" w:cs="Times New Roman"/>
          <w:sz w:val="26"/>
          <w:szCs w:val="26"/>
        </w:rPr>
        <w:t>;</w:t>
      </w:r>
      <w:r w:rsidRPr="00503874">
        <w:rPr>
          <w:rFonts w:ascii="Times New Roman" w:eastAsia="Arial" w:hAnsi="Times New Roman" w:cs="Times New Roman"/>
          <w:sz w:val="26"/>
          <w:szCs w:val="26"/>
        </w:rPr>
        <w:t xml:space="preserve"> </w:t>
      </w:r>
      <w:r w:rsidRPr="00930B11">
        <w:rPr>
          <w:rFonts w:ascii="Times New Roman" w:eastAsia="Arial" w:hAnsi="Times New Roman" w:cs="Times New Roman"/>
          <w:i/>
          <w:sz w:val="26"/>
          <w:szCs w:val="26"/>
        </w:rPr>
        <w:t>James v. United States</w:t>
      </w:r>
      <w:r w:rsidRPr="00503874">
        <w:rPr>
          <w:rFonts w:ascii="Times New Roman" w:eastAsia="Arial" w:hAnsi="Times New Roman" w:cs="Times New Roman"/>
          <w:sz w:val="26"/>
          <w:szCs w:val="26"/>
        </w:rPr>
        <w:t>, 550 U.S. 192, 127 S. Ct. 1586, 167 L.</w:t>
      </w:r>
      <w:r>
        <w:rPr>
          <w:rFonts w:ascii="Times New Roman" w:eastAsia="Arial" w:hAnsi="Times New Roman" w:cs="Times New Roman"/>
          <w:sz w:val="26"/>
          <w:szCs w:val="26"/>
        </w:rPr>
        <w:t xml:space="preserve"> </w:t>
      </w:r>
      <w:r w:rsidRPr="00503874">
        <w:rPr>
          <w:rFonts w:ascii="Times New Roman" w:eastAsia="Arial" w:hAnsi="Times New Roman" w:cs="Times New Roman"/>
          <w:sz w:val="26"/>
          <w:szCs w:val="26"/>
        </w:rPr>
        <w:t>Ed.</w:t>
      </w:r>
      <w:r>
        <w:rPr>
          <w:rFonts w:ascii="Times New Roman" w:eastAsia="Arial" w:hAnsi="Times New Roman" w:cs="Times New Roman"/>
          <w:sz w:val="26"/>
          <w:szCs w:val="26"/>
        </w:rPr>
        <w:t xml:space="preserve"> </w:t>
      </w:r>
      <w:r w:rsidRPr="00503874">
        <w:rPr>
          <w:rFonts w:ascii="Times New Roman" w:eastAsia="Arial" w:hAnsi="Times New Roman" w:cs="Times New Roman"/>
          <w:sz w:val="26"/>
          <w:szCs w:val="26"/>
        </w:rPr>
        <w:t>2d 532 (2007) (attempted burglary is a “violent felony”).</w:t>
      </w:r>
    </w:p>
    <w:p w14:paraId="528BE11A" w14:textId="1E6B005A" w:rsidR="00EE20A7" w:rsidRPr="00503874" w:rsidRDefault="00EE20A7" w:rsidP="00EE20A7">
      <w:pPr>
        <w:spacing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When a Defendant offers to stipulate to his or her status as a previously convicted felon, and the Government declines the stipulation, the issue should be evaluated under the balancing test of Fed. R. Evid. 403. While there is no per se rule requiring the Government to accept such a stipulation, it can be an abuse of discretion to admit evidence of the nature of a stipulated conviction where the nature of the crime (as distinguished from the fact of the conviction itself) has potential prejudice outweighing any probative value. </w:t>
      </w:r>
      <w:r w:rsidRPr="00930B11">
        <w:rPr>
          <w:rFonts w:ascii="Times New Roman" w:eastAsia="Arial" w:hAnsi="Times New Roman" w:cs="Times New Roman"/>
          <w:i/>
          <w:sz w:val="26"/>
          <w:szCs w:val="26"/>
        </w:rPr>
        <w:t>Old Chief v. United States</w:t>
      </w:r>
      <w:r w:rsidRPr="00503874">
        <w:rPr>
          <w:rFonts w:ascii="Times New Roman" w:eastAsia="Arial" w:hAnsi="Times New Roman" w:cs="Times New Roman"/>
          <w:sz w:val="26"/>
          <w:szCs w:val="26"/>
        </w:rPr>
        <w:t>, 519 U.S. 172, 117 S. Ct. 644, 136 L.</w:t>
      </w:r>
      <w:r>
        <w:rPr>
          <w:rFonts w:ascii="Times New Roman" w:eastAsia="Arial" w:hAnsi="Times New Roman" w:cs="Times New Roman"/>
          <w:sz w:val="26"/>
          <w:szCs w:val="26"/>
        </w:rPr>
        <w:t xml:space="preserve"> </w:t>
      </w:r>
      <w:r w:rsidRPr="00503874">
        <w:rPr>
          <w:rFonts w:ascii="Times New Roman" w:eastAsia="Arial" w:hAnsi="Times New Roman" w:cs="Times New Roman"/>
          <w:sz w:val="26"/>
          <w:szCs w:val="26"/>
        </w:rPr>
        <w:t>Ed.</w:t>
      </w:r>
      <w:r>
        <w:rPr>
          <w:rFonts w:ascii="Times New Roman" w:eastAsia="Arial" w:hAnsi="Times New Roman" w:cs="Times New Roman"/>
          <w:sz w:val="26"/>
          <w:szCs w:val="26"/>
        </w:rPr>
        <w:t xml:space="preserve"> </w:t>
      </w:r>
      <w:r w:rsidRPr="00503874">
        <w:rPr>
          <w:rFonts w:ascii="Times New Roman" w:eastAsia="Arial" w:hAnsi="Times New Roman" w:cs="Times New Roman"/>
          <w:sz w:val="26"/>
          <w:szCs w:val="26"/>
        </w:rPr>
        <w:t xml:space="preserve">2d </w:t>
      </w:r>
      <w:r>
        <w:rPr>
          <w:rFonts w:ascii="Times New Roman" w:eastAsia="Arial" w:hAnsi="Times New Roman" w:cs="Times New Roman"/>
          <w:sz w:val="26"/>
          <w:szCs w:val="26"/>
        </w:rPr>
        <w:t>574</w:t>
      </w:r>
      <w:r w:rsidRPr="00503874">
        <w:rPr>
          <w:rFonts w:ascii="Times New Roman" w:eastAsia="Arial" w:hAnsi="Times New Roman" w:cs="Times New Roman"/>
          <w:sz w:val="26"/>
          <w:szCs w:val="26"/>
        </w:rPr>
        <w:t xml:space="preserve"> (1997).</w:t>
      </w:r>
    </w:p>
    <w:p w14:paraId="5FF0B445" w14:textId="20A34417" w:rsidR="00EE20A7" w:rsidRPr="00503874" w:rsidRDefault="00EE20A7" w:rsidP="00EE20A7">
      <w:pPr>
        <w:spacing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Willfulness is not an essential element of this offense. </w:t>
      </w:r>
      <w:r w:rsidRPr="00930B11">
        <w:rPr>
          <w:rFonts w:ascii="Times New Roman" w:eastAsia="Arial" w:hAnsi="Times New Roman" w:cs="Times New Roman"/>
          <w:i/>
          <w:sz w:val="26"/>
          <w:szCs w:val="26"/>
        </w:rPr>
        <w:t>See</w:t>
      </w:r>
      <w:r w:rsidRPr="00503874">
        <w:rPr>
          <w:rFonts w:ascii="Times New Roman" w:eastAsia="Arial" w:hAnsi="Times New Roman" w:cs="Times New Roman"/>
          <w:sz w:val="26"/>
          <w:szCs w:val="26"/>
        </w:rPr>
        <w:t xml:space="preserve"> 18 U.S.C. § 924</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5 \s 1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4 \s 2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w:t>
      </w:r>
      <w:r w:rsidRPr="00930B11">
        <w:rPr>
          <w:rFonts w:ascii="Times New Roman" w:eastAsia="Arial" w:hAnsi="Times New Roman" w:cs="Times New Roman"/>
          <w:i/>
          <w:sz w:val="26"/>
          <w:szCs w:val="26"/>
        </w:rPr>
        <w:t>see also United States v. Palma</w:t>
      </w:r>
      <w:r w:rsidRPr="00503874">
        <w:rPr>
          <w:rFonts w:ascii="Times New Roman" w:eastAsia="Arial" w:hAnsi="Times New Roman" w:cs="Times New Roman"/>
          <w:sz w:val="26"/>
          <w:szCs w:val="26"/>
        </w:rPr>
        <w:t>, 511 F.3d 1311, 1315 (11</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2008) (“We have consistently held that § 922</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5 \s 7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is a strict liability offense that ‘does not require the prosecution to prove that the criminal acts were done with specific criminal intent.</w:t>
      </w:r>
      <w:r>
        <w:rPr>
          <w:rFonts w:ascii="Times New Roman" w:eastAsia="Arial" w:hAnsi="Times New Roman" w:cs="Times New Roman"/>
          <w:sz w:val="26"/>
          <w:szCs w:val="26"/>
        </w:rPr>
        <w:t>’</w:t>
      </w:r>
      <w:r w:rsidRPr="00503874">
        <w:rPr>
          <w:rFonts w:ascii="Times New Roman" w:eastAsia="Arial" w:hAnsi="Times New Roman" w:cs="Times New Roman"/>
          <w:sz w:val="26"/>
          <w:szCs w:val="26"/>
        </w:rPr>
        <w:t>”)</w:t>
      </w:r>
      <w:r>
        <w:rPr>
          <w:rFonts w:ascii="Times New Roman" w:eastAsia="Arial" w:hAnsi="Times New Roman" w:cs="Times New Roman"/>
          <w:sz w:val="26"/>
          <w:szCs w:val="26"/>
        </w:rPr>
        <w:t>.</w:t>
      </w:r>
    </w:p>
    <w:p w14:paraId="38D3F77F" w14:textId="3277DF27" w:rsidR="00EE20A7" w:rsidRPr="00503874" w:rsidRDefault="00EE20A7" w:rsidP="00EE20A7">
      <w:pPr>
        <w:spacing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The </w:t>
      </w:r>
      <w:r>
        <w:rPr>
          <w:rFonts w:ascii="Times New Roman" w:eastAsia="Arial" w:hAnsi="Times New Roman" w:cs="Times New Roman"/>
          <w:sz w:val="26"/>
          <w:szCs w:val="26"/>
        </w:rPr>
        <w:t>g</w:t>
      </w:r>
      <w:r w:rsidRPr="00503874">
        <w:rPr>
          <w:rFonts w:ascii="Times New Roman" w:eastAsia="Arial" w:hAnsi="Times New Roman" w:cs="Times New Roman"/>
          <w:sz w:val="26"/>
          <w:szCs w:val="26"/>
        </w:rPr>
        <w:t xml:space="preserve">overnment is not required to prove that the unlawfully possessed firearm was operable. </w:t>
      </w:r>
      <w:r w:rsidRPr="00930B11">
        <w:rPr>
          <w:rFonts w:ascii="Times New Roman" w:eastAsia="Arial" w:hAnsi="Times New Roman" w:cs="Times New Roman"/>
          <w:i/>
          <w:sz w:val="26"/>
          <w:szCs w:val="26"/>
        </w:rPr>
        <w:t>United States v. Adams</w:t>
      </w:r>
      <w:r w:rsidRPr="00503874">
        <w:rPr>
          <w:rFonts w:ascii="Times New Roman" w:eastAsia="Arial" w:hAnsi="Times New Roman" w:cs="Times New Roman"/>
          <w:sz w:val="26"/>
          <w:szCs w:val="26"/>
        </w:rPr>
        <w:t>, 137 F.3d 1298 (11</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1998).</w:t>
      </w:r>
    </w:p>
    <w:p w14:paraId="15A757FD" w14:textId="21EA8129" w:rsidR="00EE20A7" w:rsidRPr="00503874" w:rsidRDefault="00EE20A7" w:rsidP="00EE20A7">
      <w:pPr>
        <w:spacing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What constitutes a prior state court “conviction” is determined, under 18 U.S.C. § 921</w:t>
      </w:r>
      <w:r>
        <w:rPr>
          <w:rFonts w:ascii="Times New Roman" w:eastAsia="Arial" w:hAnsi="Times New Roman" w:cs="Times New Roman"/>
          <w:sz w:val="26"/>
          <w:szCs w:val="26"/>
        </w:rPr>
        <w:t>(a)(20)</w:t>
      </w:r>
      <w:r w:rsidRPr="00503874">
        <w:rPr>
          <w:rFonts w:ascii="Times New Roman" w:eastAsia="Arial" w:hAnsi="Times New Roman" w:cs="Times New Roman"/>
          <w:sz w:val="26"/>
          <w:szCs w:val="26"/>
        </w:rPr>
        <w:t xml:space="preserve">, according to state law; and, under Florida law, a “conviction” requires an adjudication of guilt by a jury verdict or a plea of guilty. A plea of </w:t>
      </w:r>
      <w:r w:rsidRPr="00930B11">
        <w:rPr>
          <w:rFonts w:ascii="Times New Roman" w:eastAsia="Arial" w:hAnsi="Times New Roman" w:cs="Times New Roman"/>
          <w:i/>
          <w:sz w:val="26"/>
          <w:szCs w:val="26"/>
        </w:rPr>
        <w:t>nolo contendere</w:t>
      </w:r>
      <w:r w:rsidRPr="00503874">
        <w:rPr>
          <w:rFonts w:ascii="Times New Roman" w:eastAsia="Arial" w:hAnsi="Times New Roman" w:cs="Times New Roman"/>
          <w:sz w:val="26"/>
          <w:szCs w:val="26"/>
        </w:rPr>
        <w:t xml:space="preserve"> followed by a withholding of adjudication by the Court is not a “conviction” for purposes of §</w:t>
      </w:r>
      <w:r>
        <w:rPr>
          <w:rFonts w:ascii="Times New Roman" w:eastAsia="Arial" w:hAnsi="Times New Roman" w:cs="Times New Roman"/>
          <w:sz w:val="26"/>
          <w:szCs w:val="26"/>
        </w:rPr>
        <w:t xml:space="preserve"> </w:t>
      </w:r>
      <w:r w:rsidRPr="00503874">
        <w:rPr>
          <w:rFonts w:ascii="Times New Roman" w:eastAsia="Arial" w:hAnsi="Times New Roman" w:cs="Times New Roman"/>
          <w:sz w:val="26"/>
          <w:szCs w:val="26"/>
        </w:rPr>
        <w:t>922</w:t>
      </w:r>
      <w:r>
        <w:rPr>
          <w:rFonts w:ascii="Times New Roman" w:eastAsia="Arial" w:hAnsi="Times New Roman" w:cs="Times New Roman"/>
          <w:sz w:val="26"/>
          <w:szCs w:val="26"/>
        </w:rPr>
        <w:t xml:space="preserve">(g)(1). </w:t>
      </w:r>
      <w:r w:rsidRPr="00930B11">
        <w:rPr>
          <w:rFonts w:ascii="Times New Roman" w:eastAsia="Arial" w:hAnsi="Times New Roman" w:cs="Times New Roman"/>
          <w:i/>
          <w:sz w:val="26"/>
          <w:szCs w:val="26"/>
        </w:rPr>
        <w:t>United States v. Willis</w:t>
      </w:r>
      <w:r w:rsidRPr="00503874">
        <w:rPr>
          <w:rFonts w:ascii="Times New Roman" w:eastAsia="Arial" w:hAnsi="Times New Roman" w:cs="Times New Roman"/>
          <w:sz w:val="26"/>
          <w:szCs w:val="26"/>
        </w:rPr>
        <w:t>, 106 F.3d 966 (11</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1997). In </w:t>
      </w:r>
      <w:r w:rsidRPr="00930B11">
        <w:rPr>
          <w:rFonts w:ascii="Times New Roman" w:eastAsia="Arial" w:hAnsi="Times New Roman" w:cs="Times New Roman"/>
          <w:i/>
          <w:sz w:val="26"/>
          <w:szCs w:val="26"/>
        </w:rPr>
        <w:t>Small v. United States</w:t>
      </w:r>
      <w:r w:rsidRPr="00503874">
        <w:rPr>
          <w:rFonts w:ascii="Times New Roman" w:eastAsia="Arial" w:hAnsi="Times New Roman" w:cs="Times New Roman"/>
          <w:sz w:val="26"/>
          <w:szCs w:val="26"/>
        </w:rPr>
        <w:t>, 544 U.S. 385, 125 S. Ct. 1752, 161 L.</w:t>
      </w:r>
      <w:r>
        <w:rPr>
          <w:rFonts w:ascii="Times New Roman" w:eastAsia="Arial" w:hAnsi="Times New Roman" w:cs="Times New Roman"/>
          <w:sz w:val="26"/>
          <w:szCs w:val="26"/>
        </w:rPr>
        <w:t xml:space="preserve"> </w:t>
      </w:r>
      <w:r w:rsidRPr="00503874">
        <w:rPr>
          <w:rFonts w:ascii="Times New Roman" w:eastAsia="Arial" w:hAnsi="Times New Roman" w:cs="Times New Roman"/>
          <w:sz w:val="26"/>
          <w:szCs w:val="26"/>
        </w:rPr>
        <w:t>Ed.</w:t>
      </w:r>
      <w:r>
        <w:rPr>
          <w:rFonts w:ascii="Times New Roman" w:eastAsia="Arial" w:hAnsi="Times New Roman" w:cs="Times New Roman"/>
          <w:sz w:val="26"/>
          <w:szCs w:val="26"/>
        </w:rPr>
        <w:t xml:space="preserve"> </w:t>
      </w:r>
      <w:r w:rsidRPr="00503874">
        <w:rPr>
          <w:rFonts w:ascii="Times New Roman" w:eastAsia="Arial" w:hAnsi="Times New Roman" w:cs="Times New Roman"/>
          <w:sz w:val="26"/>
          <w:szCs w:val="26"/>
        </w:rPr>
        <w:t xml:space="preserve">2d 651 (2005), the Supreme Court held that § </w:t>
      </w:r>
      <w:r w:rsidRPr="00503874">
        <w:rPr>
          <w:rFonts w:ascii="Times New Roman" w:eastAsia="Arial" w:hAnsi="Times New Roman" w:cs="Times New Roman"/>
          <w:sz w:val="26"/>
          <w:szCs w:val="26"/>
        </w:rPr>
        <w:lastRenderedPageBreak/>
        <w:t>922</w:t>
      </w:r>
      <w:r>
        <w:rPr>
          <w:rFonts w:ascii="Times New Roman" w:eastAsia="Arial" w:hAnsi="Times New Roman" w:cs="Times New Roman"/>
          <w:sz w:val="26"/>
          <w:szCs w:val="26"/>
        </w:rPr>
        <w:t>(g)(1)</w:t>
      </w:r>
      <w:r w:rsidRPr="00503874">
        <w:rPr>
          <w:rFonts w:ascii="Times New Roman" w:eastAsia="Arial" w:hAnsi="Times New Roman" w:cs="Times New Roman"/>
          <w:sz w:val="26"/>
          <w:szCs w:val="26"/>
        </w:rPr>
        <w:t>’s phrase “convicted in any court” encompasses only domestic, not foreign, convictions.</w:t>
      </w:r>
    </w:p>
    <w:p w14:paraId="73C72701" w14:textId="3BB8A8DF" w:rsidR="00EE20A7" w:rsidRPr="00EE20A7" w:rsidRDefault="00EE20A7" w:rsidP="00EE20A7">
      <w:pPr>
        <w:spacing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In </w:t>
      </w:r>
      <w:r w:rsidRPr="00930B11">
        <w:rPr>
          <w:rFonts w:ascii="Times New Roman" w:eastAsia="Arial" w:hAnsi="Times New Roman" w:cs="Times New Roman"/>
          <w:i/>
          <w:sz w:val="26"/>
          <w:szCs w:val="26"/>
        </w:rPr>
        <w:t>United States v. Scott</w:t>
      </w:r>
      <w:r w:rsidRPr="00503874">
        <w:rPr>
          <w:rFonts w:ascii="Times New Roman" w:eastAsia="Arial" w:hAnsi="Times New Roman" w:cs="Times New Roman"/>
          <w:sz w:val="26"/>
          <w:szCs w:val="26"/>
        </w:rPr>
        <w:t>, 263 F.3d 1270 (11</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2001), the Court held that </w:t>
      </w:r>
      <w:proofErr w:type="gramStart"/>
      <w:r w:rsidRPr="00503874">
        <w:rPr>
          <w:rFonts w:ascii="Times New Roman" w:eastAsia="Arial" w:hAnsi="Times New Roman" w:cs="Times New Roman"/>
          <w:sz w:val="26"/>
          <w:szCs w:val="26"/>
        </w:rPr>
        <w:t>as long as</w:t>
      </w:r>
      <w:proofErr w:type="gramEnd"/>
      <w:r w:rsidRPr="00503874">
        <w:rPr>
          <w:rFonts w:ascii="Times New Roman" w:eastAsia="Arial" w:hAnsi="Times New Roman" w:cs="Times New Roman"/>
          <w:sz w:val="26"/>
          <w:szCs w:val="26"/>
        </w:rPr>
        <w:t xml:space="preserve"> the weapon at issue had a minimal nexus to interstate commerce, application of § 922</w:t>
      </w:r>
      <w:r>
        <w:rPr>
          <w:rFonts w:ascii="Times New Roman" w:eastAsia="Arial" w:hAnsi="Times New Roman" w:cs="Times New Roman"/>
          <w:sz w:val="26"/>
          <w:szCs w:val="26"/>
        </w:rPr>
        <w:t>(g)</w:t>
      </w:r>
      <w:r w:rsidRPr="00503874">
        <w:rPr>
          <w:rFonts w:ascii="Times New Roman" w:eastAsia="Arial" w:hAnsi="Times New Roman" w:cs="Times New Roman"/>
          <w:sz w:val="26"/>
          <w:szCs w:val="26"/>
        </w:rPr>
        <w:t xml:space="preserve"> was constitutional. The interstate nexus was demonstrated by the fact that the firearm the Defendant possessed was manufactured in California and had moved in interstate commerce to Georgia, where the Defendant was found in possession of the weapon.</w:t>
      </w:r>
    </w:p>
    <w:p w14:paraId="6B59D1F9" w14:textId="3633345A" w:rsidR="00EE20A7" w:rsidRDefault="00EE20A7" w:rsidP="00EE20A7">
      <w:pPr>
        <w:spacing w:line="240" w:lineRule="auto"/>
        <w:jc w:val="both"/>
        <w:rPr>
          <w:rFonts w:ascii="Times New Roman" w:eastAsia="Arial" w:hAnsi="Times New Roman"/>
          <w:sz w:val="26"/>
          <w:szCs w:val="26"/>
        </w:rPr>
      </w:pPr>
      <w:r w:rsidRPr="00503874">
        <w:rPr>
          <w:rFonts w:ascii="Times New Roman" w:eastAsia="Arial" w:hAnsi="Times New Roman"/>
          <w:sz w:val="26"/>
          <w:szCs w:val="26"/>
        </w:rPr>
        <w:t>With regard to a “justification” defense under § 922</w:t>
      </w:r>
      <w:r>
        <w:rPr>
          <w:rFonts w:ascii="Times New Roman" w:eastAsia="Arial" w:hAnsi="Times New Roman"/>
          <w:sz w:val="26"/>
          <w:szCs w:val="26"/>
        </w:rPr>
        <w:t>(g)</w:t>
      </w:r>
      <w:r w:rsidRPr="00503874">
        <w:rPr>
          <w:rFonts w:ascii="Times New Roman" w:eastAsia="Arial" w:hAnsi="Times New Roman"/>
          <w:sz w:val="26"/>
          <w:szCs w:val="26"/>
        </w:rPr>
        <w:t xml:space="preserve">, </w:t>
      </w:r>
      <w:r w:rsidRPr="00930B11">
        <w:rPr>
          <w:rFonts w:ascii="Times New Roman" w:eastAsia="Arial" w:hAnsi="Times New Roman"/>
          <w:i/>
          <w:sz w:val="26"/>
          <w:szCs w:val="26"/>
        </w:rPr>
        <w:t xml:space="preserve">see United States v. </w:t>
      </w:r>
      <w:proofErr w:type="spellStart"/>
      <w:r w:rsidRPr="00930B11">
        <w:rPr>
          <w:rFonts w:ascii="Times New Roman" w:eastAsia="Arial" w:hAnsi="Times New Roman"/>
          <w:i/>
          <w:sz w:val="26"/>
          <w:szCs w:val="26"/>
        </w:rPr>
        <w:t>Deleveaux</w:t>
      </w:r>
      <w:proofErr w:type="spellEnd"/>
      <w:r w:rsidRPr="00503874">
        <w:rPr>
          <w:rFonts w:ascii="Times New Roman" w:eastAsia="Arial" w:hAnsi="Times New Roman"/>
          <w:sz w:val="26"/>
          <w:szCs w:val="26"/>
        </w:rPr>
        <w:t>, 205 F.3d 1292 (11</w:t>
      </w:r>
      <w:r w:rsidRPr="00503874">
        <w:rPr>
          <w:rFonts w:ascii="Times New Roman" w:eastAsia="Arial" w:hAnsi="Times New Roman"/>
          <w:sz w:val="26"/>
          <w:szCs w:val="26"/>
          <w:vertAlign w:val="superscript"/>
        </w:rPr>
        <w:t>th</w:t>
      </w:r>
      <w:r w:rsidRPr="00503874">
        <w:rPr>
          <w:rFonts w:ascii="Times New Roman" w:eastAsia="Arial" w:hAnsi="Times New Roman"/>
          <w:sz w:val="26"/>
          <w:szCs w:val="26"/>
        </w:rPr>
        <w:t xml:space="preserve"> Cir. 2000)</w:t>
      </w:r>
      <w:r>
        <w:rPr>
          <w:rFonts w:ascii="Times New Roman" w:eastAsia="Arial" w:hAnsi="Times New Roman"/>
          <w:sz w:val="26"/>
          <w:szCs w:val="26"/>
        </w:rPr>
        <w:t>,</w:t>
      </w:r>
      <w:r w:rsidRPr="00503874">
        <w:rPr>
          <w:rFonts w:ascii="Times New Roman" w:eastAsia="Arial" w:hAnsi="Times New Roman"/>
          <w:sz w:val="26"/>
          <w:szCs w:val="26"/>
        </w:rPr>
        <w:t xml:space="preserve"> </w:t>
      </w:r>
      <w:r>
        <w:rPr>
          <w:rFonts w:ascii="Times New Roman" w:eastAsia="Arial" w:hAnsi="Times New Roman"/>
          <w:sz w:val="26"/>
          <w:szCs w:val="26"/>
        </w:rPr>
        <w:t>t</w:t>
      </w:r>
      <w:r w:rsidRPr="00503874">
        <w:rPr>
          <w:rFonts w:ascii="Times New Roman" w:eastAsia="Arial" w:hAnsi="Times New Roman"/>
          <w:sz w:val="26"/>
          <w:szCs w:val="26"/>
        </w:rPr>
        <w:t xml:space="preserve">he Court held that in order to establish a justification defense, the Defendant must prove by a preponderance of the evidence that: </w:t>
      </w:r>
      <w:r>
        <w:rPr>
          <w:rFonts w:ascii="Times New Roman" w:eastAsia="Arial" w:hAnsi="Times New Roman"/>
          <w:sz w:val="26"/>
          <w:szCs w:val="26"/>
        </w:rPr>
        <w:t>(1)</w:t>
      </w:r>
      <w:r w:rsidRPr="00503874">
        <w:rPr>
          <w:rFonts w:ascii="Times New Roman" w:eastAsia="Arial" w:hAnsi="Times New Roman"/>
          <w:sz w:val="26"/>
          <w:szCs w:val="26"/>
        </w:rPr>
        <w:t xml:space="preserve"> the Defendant was under unlawful and present, imminent, and impending threat of death or serious bodily injury, </w:t>
      </w:r>
      <w:r>
        <w:rPr>
          <w:rFonts w:ascii="Times New Roman" w:eastAsia="Arial" w:hAnsi="Times New Roman"/>
          <w:sz w:val="26"/>
          <w:szCs w:val="26"/>
        </w:rPr>
        <w:t xml:space="preserve">(2) </w:t>
      </w:r>
      <w:r w:rsidRPr="00503874">
        <w:rPr>
          <w:rFonts w:ascii="Times New Roman" w:eastAsia="Arial" w:hAnsi="Times New Roman"/>
          <w:sz w:val="26"/>
          <w:szCs w:val="26"/>
        </w:rPr>
        <w:t xml:space="preserve">the Defendant did not negligently or recklessly place himself in a situation where the Defendant would be forced to engage in criminal conduct, </w:t>
      </w:r>
      <w:r>
        <w:rPr>
          <w:rFonts w:ascii="Times New Roman" w:eastAsia="Arial" w:hAnsi="Times New Roman"/>
          <w:sz w:val="26"/>
          <w:szCs w:val="26"/>
        </w:rPr>
        <w:t>(3)</w:t>
      </w:r>
      <w:r w:rsidRPr="00503874">
        <w:rPr>
          <w:rFonts w:ascii="Times New Roman" w:eastAsia="Arial" w:hAnsi="Times New Roman"/>
          <w:sz w:val="26"/>
          <w:szCs w:val="26"/>
        </w:rPr>
        <w:t xml:space="preserve"> the Defendant had no reasonable legal alternative to violating the law, and </w:t>
      </w:r>
      <w:r>
        <w:rPr>
          <w:rFonts w:ascii="Times New Roman" w:eastAsia="Arial" w:hAnsi="Times New Roman"/>
          <w:sz w:val="26"/>
          <w:szCs w:val="26"/>
        </w:rPr>
        <w:t>(4)</w:t>
      </w:r>
      <w:r w:rsidRPr="00503874">
        <w:rPr>
          <w:rFonts w:ascii="Times New Roman" w:eastAsia="Arial" w:hAnsi="Times New Roman"/>
          <w:sz w:val="26"/>
          <w:szCs w:val="26"/>
        </w:rPr>
        <w:t xml:space="preserve"> there was a direct causal relationship between the criminal action and the avoidance. </w:t>
      </w:r>
      <w:r w:rsidRPr="00930B11">
        <w:rPr>
          <w:rFonts w:ascii="Times New Roman" w:eastAsia="Arial" w:hAnsi="Times New Roman"/>
          <w:i/>
          <w:sz w:val="26"/>
          <w:szCs w:val="26"/>
        </w:rPr>
        <w:t>Id</w:t>
      </w:r>
      <w:r w:rsidRPr="00930B11">
        <w:rPr>
          <w:rFonts w:ascii="Times New Roman" w:eastAsia="Arial" w:hAnsi="Times New Roman"/>
          <w:sz w:val="26"/>
          <w:szCs w:val="26"/>
        </w:rPr>
        <w:t>.</w:t>
      </w:r>
      <w:r w:rsidRPr="00503874">
        <w:rPr>
          <w:rFonts w:ascii="Times New Roman" w:eastAsia="Arial" w:hAnsi="Times New Roman"/>
          <w:sz w:val="26"/>
          <w:szCs w:val="26"/>
        </w:rPr>
        <w:t xml:space="preserve"> at 1297. </w:t>
      </w:r>
      <w:r w:rsidRPr="00930B11">
        <w:rPr>
          <w:rFonts w:ascii="Times New Roman" w:eastAsia="Arial" w:hAnsi="Times New Roman"/>
          <w:i/>
          <w:sz w:val="26"/>
          <w:szCs w:val="26"/>
        </w:rPr>
        <w:t>See</w:t>
      </w:r>
      <w:r w:rsidRPr="00503874">
        <w:rPr>
          <w:rFonts w:ascii="Times New Roman" w:eastAsia="Arial" w:hAnsi="Times New Roman"/>
          <w:sz w:val="26"/>
          <w:szCs w:val="26"/>
        </w:rPr>
        <w:t xml:space="preserve"> Special Instruction 16, Justification or Necessity. A justification defense may be available only in “extremely limited” and “extraordinary circumstances.” </w:t>
      </w:r>
      <w:r w:rsidRPr="00930B11">
        <w:rPr>
          <w:rFonts w:ascii="Times New Roman" w:eastAsia="Arial" w:hAnsi="Times New Roman"/>
          <w:i/>
          <w:sz w:val="26"/>
          <w:szCs w:val="26"/>
        </w:rPr>
        <w:t>Palma</w:t>
      </w:r>
      <w:r w:rsidRPr="00503874">
        <w:rPr>
          <w:rFonts w:ascii="Times New Roman" w:eastAsia="Arial" w:hAnsi="Times New Roman"/>
          <w:sz w:val="26"/>
          <w:szCs w:val="26"/>
        </w:rPr>
        <w:t xml:space="preserve">, 511 F.3d </w:t>
      </w:r>
      <w:r>
        <w:rPr>
          <w:rFonts w:ascii="Times New Roman" w:eastAsia="Arial" w:hAnsi="Times New Roman"/>
          <w:sz w:val="26"/>
          <w:szCs w:val="26"/>
        </w:rPr>
        <w:t xml:space="preserve">at </w:t>
      </w:r>
      <w:r w:rsidRPr="00503874">
        <w:rPr>
          <w:rFonts w:ascii="Times New Roman" w:eastAsia="Arial" w:hAnsi="Times New Roman"/>
          <w:sz w:val="26"/>
          <w:szCs w:val="26"/>
        </w:rPr>
        <w:t>1316 n.3.</w:t>
      </w:r>
    </w:p>
    <w:p w14:paraId="6FD9387D" w14:textId="77777777" w:rsidR="00EE20A7" w:rsidRPr="00B8093D" w:rsidRDefault="00EE20A7" w:rsidP="00EE20A7">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In</w:t>
      </w:r>
      <w:r w:rsidRPr="00E42B16">
        <w:rPr>
          <w:rFonts w:ascii="Times New Roman" w:eastAsia="Arial" w:hAnsi="Times New Roman" w:cs="Times New Roman"/>
          <w:sz w:val="26"/>
          <w:szCs w:val="26"/>
        </w:rPr>
        <w:t xml:space="preserve"> a prosecution under 18 U. S. C.</w:t>
      </w:r>
      <w:r>
        <w:rPr>
          <w:rFonts w:ascii="Times New Roman" w:eastAsia="Arial" w:hAnsi="Times New Roman" w:cs="Times New Roman"/>
          <w:sz w:val="26"/>
          <w:szCs w:val="26"/>
        </w:rPr>
        <w:t xml:space="preserve"> </w:t>
      </w:r>
      <w:r w:rsidRPr="00E42B16">
        <w:rPr>
          <w:rFonts w:ascii="Times New Roman" w:eastAsia="Arial" w:hAnsi="Times New Roman" w:cs="Times New Roman"/>
          <w:sz w:val="26"/>
          <w:szCs w:val="26"/>
        </w:rPr>
        <w:t>§ 922(g</w:t>
      </w:r>
      <w:r>
        <w:rPr>
          <w:rFonts w:ascii="Times New Roman" w:eastAsia="Arial" w:hAnsi="Times New Roman" w:cs="Times New Roman"/>
          <w:sz w:val="26"/>
          <w:szCs w:val="26"/>
        </w:rPr>
        <w:t>)</w:t>
      </w:r>
      <w:r w:rsidRPr="00E42B16">
        <w:rPr>
          <w:rFonts w:ascii="Times New Roman" w:eastAsia="Arial" w:hAnsi="Times New Roman" w:cs="Times New Roman"/>
          <w:sz w:val="26"/>
          <w:szCs w:val="26"/>
        </w:rPr>
        <w:t xml:space="preserve">, </w:t>
      </w:r>
      <w:r>
        <w:rPr>
          <w:rFonts w:ascii="Times New Roman" w:eastAsia="Arial" w:hAnsi="Times New Roman" w:cs="Times New Roman"/>
          <w:sz w:val="26"/>
          <w:szCs w:val="26"/>
        </w:rPr>
        <w:t>“</w:t>
      </w:r>
      <w:r w:rsidRPr="00E42B16">
        <w:rPr>
          <w:rFonts w:ascii="Times New Roman" w:eastAsia="Arial" w:hAnsi="Times New Roman" w:cs="Times New Roman"/>
          <w:sz w:val="26"/>
          <w:szCs w:val="26"/>
        </w:rPr>
        <w:t>the Government must prove</w:t>
      </w:r>
      <w:r>
        <w:rPr>
          <w:rFonts w:ascii="Times New Roman" w:eastAsia="Arial" w:hAnsi="Times New Roman" w:cs="Times New Roman"/>
          <w:sz w:val="26"/>
          <w:szCs w:val="26"/>
        </w:rPr>
        <w:t xml:space="preserve"> </w:t>
      </w:r>
      <w:r w:rsidRPr="00E42B16">
        <w:rPr>
          <w:rFonts w:ascii="Times New Roman" w:eastAsia="Arial" w:hAnsi="Times New Roman" w:cs="Times New Roman"/>
          <w:sz w:val="26"/>
          <w:szCs w:val="26"/>
        </w:rPr>
        <w:t>both that the defendant knew he possessed a firearm and</w:t>
      </w:r>
      <w:r>
        <w:rPr>
          <w:rFonts w:ascii="Times New Roman" w:eastAsia="Arial" w:hAnsi="Times New Roman" w:cs="Times New Roman"/>
          <w:sz w:val="26"/>
          <w:szCs w:val="26"/>
        </w:rPr>
        <w:t xml:space="preserve"> </w:t>
      </w:r>
      <w:r w:rsidRPr="00C91B10">
        <w:rPr>
          <w:rFonts w:ascii="Times New Roman" w:eastAsia="Arial" w:hAnsi="Times New Roman" w:cs="Times New Roman"/>
          <w:sz w:val="26"/>
          <w:szCs w:val="26"/>
        </w:rPr>
        <w:t>that he knew he belonged to the relevant category of</w:t>
      </w:r>
      <w:r>
        <w:rPr>
          <w:rFonts w:ascii="Times New Roman" w:eastAsia="Arial" w:hAnsi="Times New Roman" w:cs="Times New Roman"/>
          <w:sz w:val="26"/>
          <w:szCs w:val="26"/>
        </w:rPr>
        <w:t xml:space="preserve"> </w:t>
      </w:r>
      <w:r w:rsidRPr="00C91B10">
        <w:rPr>
          <w:rFonts w:ascii="Times New Roman" w:eastAsia="Arial" w:hAnsi="Times New Roman" w:cs="Times New Roman"/>
          <w:sz w:val="26"/>
          <w:szCs w:val="26"/>
        </w:rPr>
        <w:t>persons barred from possessing a firearm.</w:t>
      </w:r>
      <w:r>
        <w:rPr>
          <w:rFonts w:ascii="Times New Roman" w:eastAsia="Arial" w:hAnsi="Times New Roman" w:cs="Times New Roman"/>
          <w:sz w:val="26"/>
          <w:szCs w:val="26"/>
        </w:rPr>
        <w:t xml:space="preserve">” </w:t>
      </w:r>
      <w:proofErr w:type="spellStart"/>
      <w:r w:rsidRPr="000A306F">
        <w:rPr>
          <w:rFonts w:ascii="Times New Roman" w:eastAsia="Arial" w:hAnsi="Times New Roman" w:cs="Times New Roman"/>
          <w:i/>
          <w:iCs/>
          <w:sz w:val="26"/>
          <w:szCs w:val="26"/>
        </w:rPr>
        <w:t>Rehaif</w:t>
      </w:r>
      <w:proofErr w:type="spellEnd"/>
      <w:r w:rsidRPr="000A306F">
        <w:rPr>
          <w:rFonts w:ascii="Times New Roman" w:eastAsia="Arial" w:hAnsi="Times New Roman" w:cs="Times New Roman"/>
          <w:i/>
          <w:iCs/>
          <w:sz w:val="26"/>
          <w:szCs w:val="26"/>
        </w:rPr>
        <w:t xml:space="preserve"> v. United States</w:t>
      </w:r>
      <w:r w:rsidRPr="000A306F">
        <w:rPr>
          <w:rFonts w:ascii="Times New Roman" w:eastAsia="Arial" w:hAnsi="Times New Roman" w:cs="Times New Roman"/>
          <w:sz w:val="26"/>
          <w:szCs w:val="26"/>
        </w:rPr>
        <w:t xml:space="preserve">, </w:t>
      </w:r>
      <w:r w:rsidRPr="00C91B10">
        <w:rPr>
          <w:rFonts w:ascii="Times New Roman" w:eastAsia="Arial" w:hAnsi="Times New Roman" w:cs="Times New Roman"/>
          <w:sz w:val="26"/>
          <w:szCs w:val="26"/>
        </w:rPr>
        <w:t>139 S. Ct. 2191, 2200, 204 L. Ed. 2d 594 (2019</w:t>
      </w:r>
      <w:r>
        <w:rPr>
          <w:rFonts w:ascii="Times New Roman" w:eastAsia="Arial" w:hAnsi="Times New Roman" w:cs="Times New Roman"/>
          <w:sz w:val="26"/>
          <w:szCs w:val="26"/>
        </w:rPr>
        <w:t>).</w:t>
      </w:r>
    </w:p>
    <w:p w14:paraId="102C42E4" w14:textId="77777777" w:rsidR="00010C3F" w:rsidRDefault="00010C3F"/>
    <w:sectPr w:rsidR="00010C3F" w:rsidSect="00E42B16">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289E66" w14:textId="77777777" w:rsidR="00CD330D" w:rsidRDefault="00746A06">
      <w:pPr>
        <w:spacing w:after="0" w:line="240" w:lineRule="auto"/>
      </w:pPr>
      <w:r>
        <w:separator/>
      </w:r>
    </w:p>
  </w:endnote>
  <w:endnote w:type="continuationSeparator" w:id="0">
    <w:p w14:paraId="4BC89356" w14:textId="77777777" w:rsidR="00CD330D" w:rsidRDefault="00746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E486E6" w14:textId="77777777" w:rsidR="00611316" w:rsidRDefault="009046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D35F0" w14:textId="77777777" w:rsidR="000A306F" w:rsidRDefault="009046AE">
    <w:pPr>
      <w:jc w:val="center"/>
      <w:rPr>
        <w:rFonts w:ascii="Times New Roman" w:hAnsi="Times New Roman" w:cs="Times New Roman"/>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C717A" w14:textId="77777777" w:rsidR="00611316" w:rsidRDefault="009046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EE3B12" w14:textId="77777777" w:rsidR="00CD330D" w:rsidRDefault="00746A06">
      <w:pPr>
        <w:spacing w:after="0" w:line="240" w:lineRule="auto"/>
      </w:pPr>
      <w:r>
        <w:separator/>
      </w:r>
    </w:p>
  </w:footnote>
  <w:footnote w:type="continuationSeparator" w:id="0">
    <w:p w14:paraId="1581B4AA" w14:textId="77777777" w:rsidR="00CD330D" w:rsidRDefault="00746A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8F723" w14:textId="77777777" w:rsidR="00611316" w:rsidRDefault="009046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E08DA2" w14:textId="77777777" w:rsidR="00611316" w:rsidRDefault="009046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B292CE" w14:textId="77777777" w:rsidR="00611316" w:rsidRDefault="009046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0A7"/>
    <w:rsid w:val="00010C3F"/>
    <w:rsid w:val="002240A3"/>
    <w:rsid w:val="00717C71"/>
    <w:rsid w:val="00746A06"/>
    <w:rsid w:val="007D1FD3"/>
    <w:rsid w:val="009046AE"/>
    <w:rsid w:val="00C17BAF"/>
    <w:rsid w:val="00CD330D"/>
    <w:rsid w:val="00D82C17"/>
    <w:rsid w:val="00EE2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081C5"/>
  <w15:chartTrackingRefBased/>
  <w15:docId w15:val="{A80F5753-653B-43C5-81DE-FA1D8AE55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sto MT" w:eastAsiaTheme="minorHAnsi" w:hAnsi="Calisto MT" w:cs="Times New Roman"/>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0A7"/>
    <w:pPr>
      <w:spacing w:after="200" w:line="276"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rderBody">
    <w:name w:val="Order Body"/>
    <w:basedOn w:val="Normal"/>
    <w:link w:val="OrderBodyChar"/>
    <w:qFormat/>
    <w:rsid w:val="00D82C17"/>
    <w:pPr>
      <w:spacing w:after="0" w:line="480" w:lineRule="auto"/>
      <w:ind w:firstLine="720"/>
      <w:jc w:val="both"/>
    </w:pPr>
    <w:rPr>
      <w:rFonts w:ascii="Calisto MT" w:hAnsi="Calisto MT" w:cs="Times New Roman"/>
      <w:sz w:val="26"/>
      <w:szCs w:val="24"/>
      <w:lang w:val="en-CA"/>
    </w:rPr>
  </w:style>
  <w:style w:type="character" w:customStyle="1" w:styleId="OrderBodyChar">
    <w:name w:val="Order Body Char"/>
    <w:basedOn w:val="DefaultParagraphFont"/>
    <w:link w:val="OrderBody"/>
    <w:locked/>
    <w:rsid w:val="00D82C17"/>
    <w:rPr>
      <w:szCs w:val="24"/>
      <w:lang w:val="en-CA"/>
    </w:rPr>
  </w:style>
  <w:style w:type="paragraph" w:styleId="Header">
    <w:name w:val="header"/>
    <w:basedOn w:val="Normal"/>
    <w:link w:val="HeaderChar"/>
    <w:uiPriority w:val="99"/>
    <w:unhideWhenUsed/>
    <w:rsid w:val="00EE20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20A7"/>
    <w:rPr>
      <w:rFonts w:asciiTheme="minorHAnsi" w:hAnsiTheme="minorHAnsi" w:cstheme="minorBidi"/>
      <w:sz w:val="22"/>
      <w:szCs w:val="22"/>
    </w:rPr>
  </w:style>
  <w:style w:type="paragraph" w:styleId="Footer">
    <w:name w:val="footer"/>
    <w:basedOn w:val="Normal"/>
    <w:link w:val="FooterChar"/>
    <w:uiPriority w:val="99"/>
    <w:unhideWhenUsed/>
    <w:rsid w:val="00EE20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20A7"/>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732</Words>
  <Characters>4173</Characters>
  <Application>Microsoft Office Word</Application>
  <DocSecurity>0</DocSecurity>
  <Lines>34</Lines>
  <Paragraphs>9</Paragraphs>
  <ScaleCrop>false</ScaleCrop>
  <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Funderburke</dc:creator>
  <cp:keywords/>
  <dc:description/>
  <cp:lastModifiedBy>Joshua Funderburke</cp:lastModifiedBy>
  <cp:revision>3</cp:revision>
  <dcterms:created xsi:type="dcterms:W3CDTF">2021-05-26T18:39:00Z</dcterms:created>
  <dcterms:modified xsi:type="dcterms:W3CDTF">2021-05-26T18:46:00Z</dcterms:modified>
</cp:coreProperties>
</file>