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1B02" w:rsidRDefault="00431B02" w:rsidP="00431B02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bookmarkStart w:id="0" w:name="_GoBack"/>
      <w:r>
        <w:rPr>
          <w:rFonts w:ascii="Times New Roman" w:eastAsia="Arial" w:hAnsi="Times New Roman"/>
          <w:b/>
          <w:sz w:val="26"/>
          <w:szCs w:val="26"/>
          <w:u w:val="single"/>
        </w:rPr>
        <w:t>ANNOTATIONS AND COMMENTS</w:t>
      </w:r>
    </w:p>
    <w:p w:rsidR="00431B02" w:rsidRDefault="00431B02" w:rsidP="00431B02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431B02" w:rsidRDefault="00431B02" w:rsidP="00431B02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t>18 U.S.C. § 1001</w:t>
      </w:r>
      <w:r>
        <w:rPr>
          <w:rFonts w:ascii="Times New Roman" w:eastAsia="Arial" w:hAnsi="Times New Roman"/>
          <w:sz w:val="26"/>
          <w:szCs w:val="26"/>
        </w:rPr>
        <w:fldChar w:fldCharType="begin"/>
      </w:r>
      <w:r>
        <w:rPr>
          <w:rFonts w:ascii="Times New Roman" w:eastAsia="Arial" w:hAnsi="Times New Roman"/>
          <w:sz w:val="26"/>
          <w:szCs w:val="26"/>
        </w:rPr>
        <w:instrText xml:space="preserve"> LISTNUM  NumberDefault \l 5 \s 1 </w:instrText>
      </w:r>
      <w:r>
        <w:rPr>
          <w:rFonts w:ascii="Times New Roman" w:eastAsia="Arial" w:hAnsi="Times New Roman"/>
          <w:sz w:val="26"/>
          <w:szCs w:val="26"/>
        </w:rPr>
        <w:fldChar w:fldCharType="end"/>
      </w:r>
      <w:r>
        <w:rPr>
          <w:rFonts w:ascii="Times New Roman" w:eastAsia="Arial" w:hAnsi="Times New Roman"/>
          <w:sz w:val="26"/>
          <w:szCs w:val="26"/>
        </w:rPr>
        <w:t xml:space="preserve"> provides:</w:t>
      </w:r>
    </w:p>
    <w:p w:rsidR="00431B02" w:rsidRDefault="00431B02" w:rsidP="00431B02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431B02" w:rsidRDefault="00431B02" w:rsidP="0012559E">
      <w:pPr>
        <w:spacing w:after="0" w:line="240" w:lineRule="auto"/>
        <w:ind w:left="360" w:firstLine="360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t xml:space="preserve">… [W]hoever, in any matter within the jurisdiction of the executive, legislative, or judicial branch of the Government of the United States, knowingly and willfully - - </w:t>
      </w:r>
      <w:r>
        <w:rPr>
          <w:rFonts w:ascii="Times New Roman" w:eastAsia="Arial" w:hAnsi="Times New Roman"/>
          <w:sz w:val="26"/>
          <w:szCs w:val="26"/>
        </w:rPr>
        <w:fldChar w:fldCharType="begin"/>
      </w:r>
      <w:r>
        <w:rPr>
          <w:rFonts w:ascii="Times New Roman" w:eastAsia="Arial" w:hAnsi="Times New Roman"/>
          <w:sz w:val="26"/>
          <w:szCs w:val="26"/>
        </w:rPr>
        <w:instrText xml:space="preserve"> LISTNUM  NumberDefault \l 4 \s 1 </w:instrText>
      </w:r>
      <w:r>
        <w:rPr>
          <w:rFonts w:ascii="Times New Roman" w:eastAsia="Arial" w:hAnsi="Times New Roman"/>
          <w:sz w:val="26"/>
          <w:szCs w:val="26"/>
        </w:rPr>
        <w:fldChar w:fldCharType="end"/>
      </w:r>
      <w:r>
        <w:rPr>
          <w:rFonts w:ascii="Times New Roman" w:eastAsia="Arial" w:hAnsi="Times New Roman"/>
          <w:sz w:val="26"/>
          <w:szCs w:val="26"/>
        </w:rPr>
        <w:t xml:space="preserve"> falsifies… a material fact; </w:t>
      </w:r>
      <w:r>
        <w:rPr>
          <w:rFonts w:ascii="Times New Roman" w:eastAsia="Arial" w:hAnsi="Times New Roman"/>
          <w:sz w:val="26"/>
          <w:szCs w:val="26"/>
        </w:rPr>
        <w:fldChar w:fldCharType="begin"/>
      </w:r>
      <w:r>
        <w:rPr>
          <w:rFonts w:ascii="Times New Roman" w:eastAsia="Arial" w:hAnsi="Times New Roman"/>
          <w:sz w:val="26"/>
          <w:szCs w:val="26"/>
        </w:rPr>
        <w:instrText xml:space="preserve"> LISTNUM  NumberDefault \l 4 \s 2 </w:instrText>
      </w:r>
      <w:r>
        <w:rPr>
          <w:rFonts w:ascii="Times New Roman" w:eastAsia="Arial" w:hAnsi="Times New Roman"/>
          <w:sz w:val="26"/>
          <w:szCs w:val="26"/>
        </w:rPr>
        <w:fldChar w:fldCharType="end"/>
      </w:r>
      <w:r>
        <w:rPr>
          <w:rFonts w:ascii="Times New Roman" w:eastAsia="Arial" w:hAnsi="Times New Roman"/>
          <w:sz w:val="26"/>
          <w:szCs w:val="26"/>
        </w:rPr>
        <w:t xml:space="preserve"> makes any materially false, fictitious or fraudulent statement or representation; or </w:t>
      </w:r>
      <w:r>
        <w:rPr>
          <w:rFonts w:ascii="Times New Roman" w:eastAsia="Arial" w:hAnsi="Times New Roman"/>
          <w:sz w:val="26"/>
          <w:szCs w:val="26"/>
        </w:rPr>
        <w:fldChar w:fldCharType="begin"/>
      </w:r>
      <w:r>
        <w:rPr>
          <w:rFonts w:ascii="Times New Roman" w:eastAsia="Arial" w:hAnsi="Times New Roman"/>
          <w:sz w:val="26"/>
          <w:szCs w:val="26"/>
        </w:rPr>
        <w:instrText xml:space="preserve"> LISTNUM  NumberDefault \l 4 \s 3 </w:instrText>
      </w:r>
      <w:r>
        <w:rPr>
          <w:rFonts w:ascii="Times New Roman" w:eastAsia="Arial" w:hAnsi="Times New Roman"/>
          <w:sz w:val="26"/>
          <w:szCs w:val="26"/>
        </w:rPr>
        <w:fldChar w:fldCharType="end"/>
      </w:r>
      <w:r>
        <w:rPr>
          <w:rFonts w:ascii="Times New Roman" w:eastAsia="Arial" w:hAnsi="Times New Roman"/>
          <w:sz w:val="26"/>
          <w:szCs w:val="26"/>
        </w:rPr>
        <w:t xml:space="preserve"> makes or uses any false writing or document knowing the same to contain any materially false, fictitious or fraudulent statement or entry [shall be guilty of an offense against the United States.]</w:t>
      </w:r>
    </w:p>
    <w:p w:rsidR="00431B02" w:rsidRDefault="00431B02" w:rsidP="00431B02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431B02" w:rsidRDefault="00431B02" w:rsidP="00431B02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t xml:space="preserve">Maximum Penalty: Five </w:t>
      </w:r>
      <w:r>
        <w:rPr>
          <w:rFonts w:ascii="Times New Roman" w:eastAsia="Arial" w:hAnsi="Times New Roman"/>
          <w:sz w:val="26"/>
          <w:szCs w:val="26"/>
        </w:rPr>
        <w:fldChar w:fldCharType="begin"/>
      </w:r>
      <w:r>
        <w:rPr>
          <w:rFonts w:ascii="Times New Roman" w:eastAsia="Arial" w:hAnsi="Times New Roman"/>
          <w:sz w:val="26"/>
          <w:szCs w:val="26"/>
        </w:rPr>
        <w:instrText xml:space="preserve"> LISTNUM  NumberDefault \l 4 \s 5 </w:instrText>
      </w:r>
      <w:r>
        <w:rPr>
          <w:rFonts w:ascii="Times New Roman" w:eastAsia="Arial" w:hAnsi="Times New Roman"/>
          <w:sz w:val="26"/>
          <w:szCs w:val="26"/>
        </w:rPr>
        <w:fldChar w:fldCharType="end"/>
      </w:r>
      <w:r>
        <w:rPr>
          <w:rFonts w:ascii="Times New Roman" w:eastAsia="Arial" w:hAnsi="Times New Roman"/>
          <w:sz w:val="26"/>
          <w:szCs w:val="26"/>
        </w:rPr>
        <w:t xml:space="preserve"> years imprisonment and applicable fine.</w:t>
      </w:r>
    </w:p>
    <w:p w:rsidR="00431B02" w:rsidRDefault="00431B02" w:rsidP="00431B02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431B02" w:rsidRDefault="00431B02" w:rsidP="00431B02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t xml:space="preserve">The enumeration of the elements of the offense is taken from </w:t>
      </w:r>
      <w:r w:rsidRPr="0012559E">
        <w:rPr>
          <w:rFonts w:ascii="Times New Roman" w:eastAsia="Arial" w:hAnsi="Times New Roman"/>
          <w:i/>
          <w:sz w:val="26"/>
          <w:szCs w:val="26"/>
        </w:rPr>
        <w:t>United States v. Calhoon</w:t>
      </w:r>
      <w:r>
        <w:rPr>
          <w:rFonts w:ascii="Times New Roman" w:eastAsia="Arial" w:hAnsi="Times New Roman"/>
          <w:sz w:val="26"/>
          <w:szCs w:val="26"/>
        </w:rPr>
        <w:t>, 97 F.3d 518, 523 (11</w:t>
      </w:r>
      <w:r w:rsidRPr="00445493">
        <w:rPr>
          <w:rFonts w:ascii="Times New Roman" w:eastAsia="Arial" w:hAnsi="Times New Roman"/>
          <w:sz w:val="26"/>
          <w:szCs w:val="26"/>
          <w:vertAlign w:val="superscript"/>
        </w:rPr>
        <w:t>th</w:t>
      </w:r>
      <w:r>
        <w:rPr>
          <w:rFonts w:ascii="Times New Roman" w:eastAsia="Arial" w:hAnsi="Times New Roman"/>
          <w:sz w:val="26"/>
          <w:szCs w:val="26"/>
        </w:rPr>
        <w:t xml:space="preserve"> Cir. 1996).</w:t>
      </w:r>
    </w:p>
    <w:p w:rsidR="00431B02" w:rsidRDefault="00431B02" w:rsidP="00431B02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431B02" w:rsidRDefault="00431B02" w:rsidP="00431B02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t xml:space="preserve">In </w:t>
      </w:r>
      <w:r w:rsidRPr="0012559E">
        <w:rPr>
          <w:rFonts w:ascii="Times New Roman" w:eastAsia="Arial" w:hAnsi="Times New Roman"/>
          <w:i/>
          <w:sz w:val="26"/>
          <w:szCs w:val="26"/>
        </w:rPr>
        <w:t>Arthur Pew Const. Co. v. Lipscomb</w:t>
      </w:r>
      <w:r>
        <w:rPr>
          <w:rFonts w:ascii="Times New Roman" w:eastAsia="Arial" w:hAnsi="Times New Roman"/>
          <w:sz w:val="26"/>
          <w:szCs w:val="26"/>
        </w:rPr>
        <w:t>, 965 F.2d 1559, 1576 (11</w:t>
      </w:r>
      <w:r w:rsidRPr="00445493">
        <w:rPr>
          <w:rFonts w:ascii="Times New Roman" w:eastAsia="Arial" w:hAnsi="Times New Roman"/>
          <w:sz w:val="26"/>
          <w:szCs w:val="26"/>
          <w:vertAlign w:val="superscript"/>
        </w:rPr>
        <w:t>th</w:t>
      </w:r>
      <w:r>
        <w:rPr>
          <w:rFonts w:ascii="Times New Roman" w:eastAsia="Arial" w:hAnsi="Times New Roman"/>
          <w:sz w:val="26"/>
          <w:szCs w:val="26"/>
        </w:rPr>
        <w:t xml:space="preserve"> Cir. 1992), the court held that misrepresentation for purposes of § 1001 must be deliberate, knowing, and willful, or at least have been made with a reckless disregard of the truth and a conscious purpose to avoid telling the truth.</w:t>
      </w:r>
    </w:p>
    <w:p w:rsidR="00431B02" w:rsidRDefault="00431B02" w:rsidP="00431B02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431B02" w:rsidRDefault="00431B02" w:rsidP="00431B02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t xml:space="preserve">In </w:t>
      </w:r>
      <w:r w:rsidRPr="0012559E">
        <w:rPr>
          <w:rFonts w:ascii="Times New Roman" w:eastAsia="Arial" w:hAnsi="Times New Roman"/>
          <w:i/>
          <w:sz w:val="26"/>
          <w:szCs w:val="26"/>
        </w:rPr>
        <w:t>United States v. Gaudin</w:t>
      </w:r>
      <w:r>
        <w:rPr>
          <w:rFonts w:ascii="Times New Roman" w:eastAsia="Arial" w:hAnsi="Times New Roman"/>
          <w:sz w:val="26"/>
          <w:szCs w:val="26"/>
        </w:rPr>
        <w:t xml:space="preserve">, 515 U.S. 506, 115 S. Ct. 2310, 132 L. Ed. 2d 444 (1995), the Supreme Court held that the materiality of a false statement under this section is a jury question, and that failure to submit the question of materiality to the jury constitutes reversible error. </w:t>
      </w:r>
      <w:r w:rsidRPr="0012559E">
        <w:rPr>
          <w:rFonts w:ascii="Times New Roman" w:eastAsia="Arial" w:hAnsi="Times New Roman"/>
          <w:i/>
          <w:sz w:val="26"/>
          <w:szCs w:val="26"/>
        </w:rPr>
        <w:t>See United States v. Klais</w:t>
      </w:r>
      <w:r>
        <w:rPr>
          <w:rFonts w:ascii="Times New Roman" w:eastAsia="Arial" w:hAnsi="Times New Roman"/>
          <w:sz w:val="26"/>
          <w:szCs w:val="26"/>
        </w:rPr>
        <w:t>, 68 F.3d 1282, 1283 (11</w:t>
      </w:r>
      <w:r w:rsidRPr="00445493">
        <w:rPr>
          <w:rFonts w:ascii="Times New Roman" w:eastAsia="Arial" w:hAnsi="Times New Roman"/>
          <w:sz w:val="26"/>
          <w:szCs w:val="26"/>
          <w:vertAlign w:val="superscript"/>
        </w:rPr>
        <w:t>th</w:t>
      </w:r>
      <w:r>
        <w:rPr>
          <w:rFonts w:ascii="Times New Roman" w:eastAsia="Arial" w:hAnsi="Times New Roman"/>
          <w:sz w:val="26"/>
          <w:szCs w:val="26"/>
        </w:rPr>
        <w:t xml:space="preserve"> Cir. 1995) (recognizing holding). The Eleventh Circuit has held that for a conviction to be sustained under § 1001, “it is imperative that the writing or document be ‘false.’” </w:t>
      </w:r>
      <w:r w:rsidRPr="0012559E">
        <w:rPr>
          <w:rFonts w:ascii="Times New Roman" w:eastAsia="Arial" w:hAnsi="Times New Roman"/>
          <w:i/>
          <w:sz w:val="26"/>
          <w:szCs w:val="26"/>
        </w:rPr>
        <w:t>United States v. Blankenship</w:t>
      </w:r>
      <w:r>
        <w:rPr>
          <w:rFonts w:ascii="Times New Roman" w:eastAsia="Arial" w:hAnsi="Times New Roman"/>
          <w:sz w:val="26"/>
          <w:szCs w:val="26"/>
        </w:rPr>
        <w:t>, 382 F.3d 1110, 1132 (11</w:t>
      </w:r>
      <w:r w:rsidRPr="00445493">
        <w:rPr>
          <w:rFonts w:ascii="Times New Roman" w:eastAsia="Arial" w:hAnsi="Times New Roman"/>
          <w:sz w:val="26"/>
          <w:szCs w:val="26"/>
          <w:vertAlign w:val="superscript"/>
        </w:rPr>
        <w:t>th</w:t>
      </w:r>
      <w:r>
        <w:rPr>
          <w:rFonts w:ascii="Times New Roman" w:eastAsia="Arial" w:hAnsi="Times New Roman"/>
          <w:sz w:val="26"/>
          <w:szCs w:val="26"/>
        </w:rPr>
        <w:t xml:space="preserve"> Cir. 2004). Where the writing or document at issue is a contract, the Court of Appeals further held that there are only two ways in which a contract can possibly be considered false: </w:t>
      </w:r>
      <w:r>
        <w:rPr>
          <w:rFonts w:ascii="Times New Roman" w:eastAsia="Arial" w:hAnsi="Times New Roman"/>
          <w:sz w:val="26"/>
          <w:szCs w:val="26"/>
        </w:rPr>
        <w:fldChar w:fldCharType="begin"/>
      </w:r>
      <w:r>
        <w:rPr>
          <w:rFonts w:ascii="Times New Roman" w:eastAsia="Arial" w:hAnsi="Times New Roman"/>
          <w:sz w:val="26"/>
          <w:szCs w:val="26"/>
        </w:rPr>
        <w:instrText xml:space="preserve"> LISTNUM  NumberDefault \l 4 \s 1 </w:instrText>
      </w:r>
      <w:r>
        <w:rPr>
          <w:rFonts w:ascii="Times New Roman" w:eastAsia="Arial" w:hAnsi="Times New Roman"/>
          <w:sz w:val="26"/>
          <w:szCs w:val="26"/>
        </w:rPr>
        <w:fldChar w:fldCharType="end"/>
      </w:r>
      <w:r>
        <w:rPr>
          <w:rFonts w:ascii="Times New Roman" w:eastAsia="Arial" w:hAnsi="Times New Roman"/>
          <w:sz w:val="26"/>
          <w:szCs w:val="26"/>
        </w:rPr>
        <w:t xml:space="preserve"> where a person forges or alters it, or </w:t>
      </w:r>
      <w:r>
        <w:rPr>
          <w:rFonts w:ascii="Times New Roman" w:eastAsia="Arial" w:hAnsi="Times New Roman"/>
          <w:sz w:val="26"/>
          <w:szCs w:val="26"/>
        </w:rPr>
        <w:fldChar w:fldCharType="begin"/>
      </w:r>
      <w:r>
        <w:rPr>
          <w:rFonts w:ascii="Times New Roman" w:eastAsia="Arial" w:hAnsi="Times New Roman"/>
          <w:sz w:val="26"/>
          <w:szCs w:val="26"/>
        </w:rPr>
        <w:instrText xml:space="preserve"> LISTNUM  NumberDefault \l 4 \s 2 </w:instrText>
      </w:r>
      <w:r>
        <w:rPr>
          <w:rFonts w:ascii="Times New Roman" w:eastAsia="Arial" w:hAnsi="Times New Roman"/>
          <w:sz w:val="26"/>
          <w:szCs w:val="26"/>
        </w:rPr>
        <w:fldChar w:fldCharType="end"/>
      </w:r>
      <w:r>
        <w:rPr>
          <w:rFonts w:ascii="Times New Roman" w:eastAsia="Arial" w:hAnsi="Times New Roman"/>
          <w:sz w:val="26"/>
          <w:szCs w:val="26"/>
        </w:rPr>
        <w:t xml:space="preserve"> where it contains “factual misrepresentations.” </w:t>
      </w:r>
      <w:r w:rsidRPr="0012559E">
        <w:rPr>
          <w:rFonts w:ascii="Times New Roman" w:eastAsia="Arial" w:hAnsi="Times New Roman"/>
          <w:i/>
          <w:sz w:val="26"/>
          <w:szCs w:val="26"/>
        </w:rPr>
        <w:t>Id</w:t>
      </w:r>
      <w:r w:rsidRPr="0012559E">
        <w:rPr>
          <w:rFonts w:ascii="Times New Roman" w:eastAsia="Arial" w:hAnsi="Times New Roman"/>
          <w:sz w:val="26"/>
          <w:szCs w:val="26"/>
        </w:rPr>
        <w:t>.</w:t>
      </w:r>
    </w:p>
    <w:p w:rsidR="00431B02" w:rsidRDefault="00431B02" w:rsidP="00431B02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431B02" w:rsidRDefault="00431B02" w:rsidP="00431B02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t xml:space="preserve">The materiality definition is adopted from </w:t>
      </w:r>
      <w:r w:rsidRPr="0012559E">
        <w:rPr>
          <w:rFonts w:ascii="Times New Roman" w:eastAsia="Arial" w:hAnsi="Times New Roman"/>
          <w:i/>
          <w:sz w:val="26"/>
          <w:szCs w:val="26"/>
        </w:rPr>
        <w:t>Gaudin</w:t>
      </w:r>
      <w:r>
        <w:rPr>
          <w:rFonts w:ascii="Times New Roman" w:eastAsia="Arial" w:hAnsi="Times New Roman"/>
          <w:sz w:val="26"/>
          <w:szCs w:val="26"/>
        </w:rPr>
        <w:t xml:space="preserve">, 115 S. Ct. at 2313, and </w:t>
      </w:r>
      <w:r w:rsidRPr="0012559E">
        <w:rPr>
          <w:rFonts w:ascii="Times New Roman" w:eastAsia="Arial" w:hAnsi="Times New Roman"/>
          <w:i/>
          <w:sz w:val="26"/>
          <w:szCs w:val="26"/>
        </w:rPr>
        <w:t>United States v. Lichenstein</w:t>
      </w:r>
      <w:r>
        <w:rPr>
          <w:rFonts w:ascii="Times New Roman" w:eastAsia="Arial" w:hAnsi="Times New Roman"/>
          <w:sz w:val="26"/>
          <w:szCs w:val="26"/>
        </w:rPr>
        <w:t>, 610 F.2d 1272 (5</w:t>
      </w:r>
      <w:r w:rsidRPr="00445493">
        <w:rPr>
          <w:rFonts w:ascii="Times New Roman" w:eastAsia="Arial" w:hAnsi="Times New Roman"/>
          <w:sz w:val="26"/>
          <w:szCs w:val="26"/>
          <w:vertAlign w:val="superscript"/>
        </w:rPr>
        <w:t>th</w:t>
      </w:r>
      <w:r>
        <w:rPr>
          <w:rFonts w:ascii="Times New Roman" w:eastAsia="Arial" w:hAnsi="Times New Roman"/>
          <w:sz w:val="26"/>
          <w:szCs w:val="26"/>
        </w:rPr>
        <w:t xml:space="preserve"> Cir. 1980). </w:t>
      </w:r>
      <w:r w:rsidRPr="0012559E">
        <w:rPr>
          <w:rFonts w:ascii="Times New Roman" w:eastAsia="Arial" w:hAnsi="Times New Roman"/>
          <w:i/>
          <w:sz w:val="26"/>
          <w:szCs w:val="26"/>
        </w:rPr>
        <w:t>See United States v. Grizzle</w:t>
      </w:r>
      <w:r>
        <w:rPr>
          <w:rFonts w:ascii="Times New Roman" w:eastAsia="Arial" w:hAnsi="Times New Roman"/>
          <w:sz w:val="26"/>
          <w:szCs w:val="26"/>
        </w:rPr>
        <w:t>, 933 F.2d 943, 948 (11</w:t>
      </w:r>
      <w:r w:rsidRPr="00445493">
        <w:rPr>
          <w:rFonts w:ascii="Times New Roman" w:eastAsia="Arial" w:hAnsi="Times New Roman"/>
          <w:sz w:val="26"/>
          <w:szCs w:val="26"/>
          <w:vertAlign w:val="superscript"/>
        </w:rPr>
        <w:t>th</w:t>
      </w:r>
      <w:r>
        <w:rPr>
          <w:rFonts w:ascii="Times New Roman" w:eastAsia="Arial" w:hAnsi="Times New Roman"/>
          <w:sz w:val="26"/>
          <w:szCs w:val="26"/>
        </w:rPr>
        <w:t xml:space="preserve"> Cir. 1991); </w:t>
      </w:r>
      <w:r w:rsidRPr="0012559E">
        <w:rPr>
          <w:rFonts w:ascii="Times New Roman" w:eastAsia="Arial" w:hAnsi="Times New Roman"/>
          <w:i/>
          <w:sz w:val="26"/>
          <w:szCs w:val="26"/>
        </w:rPr>
        <w:t>United States v. Herring</w:t>
      </w:r>
      <w:r>
        <w:rPr>
          <w:rFonts w:ascii="Times New Roman" w:eastAsia="Arial" w:hAnsi="Times New Roman"/>
          <w:sz w:val="26"/>
          <w:szCs w:val="26"/>
        </w:rPr>
        <w:t>, 916 F.2d 1543, 1547 (11</w:t>
      </w:r>
      <w:r w:rsidRPr="00445493">
        <w:rPr>
          <w:rFonts w:ascii="Times New Roman" w:eastAsia="Arial" w:hAnsi="Times New Roman"/>
          <w:sz w:val="26"/>
          <w:szCs w:val="26"/>
          <w:vertAlign w:val="superscript"/>
        </w:rPr>
        <w:t>th</w:t>
      </w:r>
      <w:r>
        <w:rPr>
          <w:rFonts w:ascii="Times New Roman" w:eastAsia="Arial" w:hAnsi="Times New Roman"/>
          <w:sz w:val="26"/>
          <w:szCs w:val="26"/>
        </w:rPr>
        <w:t xml:space="preserve"> Cir. 1990); </w:t>
      </w:r>
      <w:r w:rsidRPr="0012559E">
        <w:rPr>
          <w:rFonts w:ascii="Times New Roman" w:eastAsia="Arial" w:hAnsi="Times New Roman"/>
          <w:i/>
          <w:sz w:val="26"/>
          <w:szCs w:val="26"/>
        </w:rPr>
        <w:t>United States v. Gafyczk</w:t>
      </w:r>
      <w:r>
        <w:rPr>
          <w:rFonts w:ascii="Times New Roman" w:eastAsia="Arial" w:hAnsi="Times New Roman"/>
          <w:sz w:val="26"/>
          <w:szCs w:val="26"/>
        </w:rPr>
        <w:t>, 847 F.2d 685, 691 (11</w:t>
      </w:r>
      <w:r w:rsidRPr="00445493">
        <w:rPr>
          <w:rFonts w:ascii="Times New Roman" w:eastAsia="Arial" w:hAnsi="Times New Roman"/>
          <w:sz w:val="26"/>
          <w:szCs w:val="26"/>
          <w:vertAlign w:val="superscript"/>
        </w:rPr>
        <w:t>th</w:t>
      </w:r>
      <w:r>
        <w:rPr>
          <w:rFonts w:ascii="Times New Roman" w:eastAsia="Arial" w:hAnsi="Times New Roman"/>
          <w:sz w:val="26"/>
          <w:szCs w:val="26"/>
        </w:rPr>
        <w:t xml:space="preserve"> Cir. 1988).</w:t>
      </w:r>
    </w:p>
    <w:p w:rsidR="00431B02" w:rsidRDefault="00431B02" w:rsidP="00431B02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431B02" w:rsidRPr="0012559E" w:rsidRDefault="00431B02" w:rsidP="00431B02">
      <w:pPr>
        <w:spacing w:after="0" w:line="240" w:lineRule="auto"/>
        <w:jc w:val="both"/>
        <w:rPr>
          <w:rFonts w:ascii="Times New Roman" w:eastAsia="Arial" w:hAnsi="Times New Roman"/>
          <w:spacing w:val="-2"/>
          <w:sz w:val="26"/>
          <w:szCs w:val="26"/>
        </w:rPr>
      </w:pPr>
      <w:r w:rsidRPr="0012559E">
        <w:rPr>
          <w:rFonts w:ascii="Times New Roman" w:eastAsia="Arial" w:hAnsi="Times New Roman"/>
          <w:spacing w:val="-2"/>
          <w:sz w:val="26"/>
          <w:szCs w:val="26"/>
        </w:rPr>
        <w:t>The “exculpatory no” doctrine as an exception to the scope of the offense (</w:t>
      </w:r>
      <w:r w:rsidRPr="0012559E">
        <w:rPr>
          <w:rFonts w:ascii="Times New Roman" w:eastAsia="Arial" w:hAnsi="Times New Roman"/>
          <w:i/>
          <w:spacing w:val="-2"/>
          <w:sz w:val="26"/>
          <w:szCs w:val="26"/>
        </w:rPr>
        <w:t>see United States v. Payne</w:t>
      </w:r>
      <w:r w:rsidRPr="0012559E">
        <w:rPr>
          <w:rFonts w:ascii="Times New Roman" w:eastAsia="Arial" w:hAnsi="Times New Roman"/>
          <w:spacing w:val="-2"/>
          <w:sz w:val="26"/>
          <w:szCs w:val="26"/>
        </w:rPr>
        <w:t>, 750 F.2d 844, 861 (11</w:t>
      </w:r>
      <w:r w:rsidRPr="0012559E">
        <w:rPr>
          <w:rFonts w:ascii="Times New Roman" w:eastAsia="Arial" w:hAnsi="Times New Roman"/>
          <w:spacing w:val="-2"/>
          <w:sz w:val="26"/>
          <w:szCs w:val="26"/>
          <w:vertAlign w:val="superscript"/>
        </w:rPr>
        <w:t>th</w:t>
      </w:r>
      <w:r w:rsidRPr="0012559E">
        <w:rPr>
          <w:rFonts w:ascii="Times New Roman" w:eastAsia="Arial" w:hAnsi="Times New Roman"/>
          <w:spacing w:val="-2"/>
          <w:sz w:val="26"/>
          <w:szCs w:val="26"/>
        </w:rPr>
        <w:t xml:space="preserve"> Cir. 1985)) was repudiated by the Supreme Court in </w:t>
      </w:r>
      <w:r w:rsidRPr="0012559E">
        <w:rPr>
          <w:rFonts w:ascii="Times New Roman" w:eastAsia="Arial" w:hAnsi="Times New Roman"/>
          <w:i/>
          <w:spacing w:val="-2"/>
          <w:sz w:val="26"/>
          <w:szCs w:val="26"/>
        </w:rPr>
        <w:t>Brogan v. United States</w:t>
      </w:r>
      <w:r w:rsidRPr="0012559E">
        <w:rPr>
          <w:rFonts w:ascii="Times New Roman" w:eastAsia="Arial" w:hAnsi="Times New Roman"/>
          <w:spacing w:val="-2"/>
          <w:sz w:val="26"/>
          <w:szCs w:val="26"/>
        </w:rPr>
        <w:t>, 522 U.S. 398, 118 S. Ct. 805, 139 L. Ed. 2d 830 (1998).</w:t>
      </w:r>
    </w:p>
    <w:p w:rsidR="00431B02" w:rsidRDefault="00431B02" w:rsidP="00431B02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725167" w:rsidRPr="00431B02" w:rsidRDefault="00431B02" w:rsidP="00431B02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t>The committee believes that the general definition of “willfully” in Basic Instruction 9.1A would usually apply to this crime.</w:t>
      </w:r>
      <w:bookmarkEnd w:id="0"/>
    </w:p>
    <w:sectPr w:rsidR="00725167" w:rsidRPr="00431B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DDE" w:rsidRDefault="008D3DDE" w:rsidP="008D3DDE">
      <w:pPr>
        <w:spacing w:after="0" w:line="240" w:lineRule="auto"/>
      </w:pPr>
      <w:r>
        <w:separator/>
      </w:r>
    </w:p>
  </w:endnote>
  <w:endnote w:type="continuationSeparator" w:id="0">
    <w:p w:rsidR="008D3DDE" w:rsidRDefault="008D3DDE" w:rsidP="008D3D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DDE" w:rsidRDefault="008D3DDE" w:rsidP="008D3DDE">
      <w:pPr>
        <w:spacing w:after="0" w:line="240" w:lineRule="auto"/>
      </w:pPr>
      <w:r>
        <w:separator/>
      </w:r>
    </w:p>
  </w:footnote>
  <w:footnote w:type="continuationSeparator" w:id="0">
    <w:p w:rsidR="008D3DDE" w:rsidRDefault="008D3DDE" w:rsidP="008D3DD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removeDateAndTime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E82"/>
    <w:rsid w:val="00014B03"/>
    <w:rsid w:val="0002352A"/>
    <w:rsid w:val="000256FD"/>
    <w:rsid w:val="0003583F"/>
    <w:rsid w:val="0005723A"/>
    <w:rsid w:val="0006716B"/>
    <w:rsid w:val="00087D55"/>
    <w:rsid w:val="00091548"/>
    <w:rsid w:val="000A7260"/>
    <w:rsid w:val="000B303C"/>
    <w:rsid w:val="000C1BFC"/>
    <w:rsid w:val="000C32C1"/>
    <w:rsid w:val="00110446"/>
    <w:rsid w:val="001217D5"/>
    <w:rsid w:val="0012559E"/>
    <w:rsid w:val="0012744C"/>
    <w:rsid w:val="00135397"/>
    <w:rsid w:val="00157747"/>
    <w:rsid w:val="00166AB9"/>
    <w:rsid w:val="00194E82"/>
    <w:rsid w:val="001E5B53"/>
    <w:rsid w:val="002329BF"/>
    <w:rsid w:val="00233997"/>
    <w:rsid w:val="00236275"/>
    <w:rsid w:val="00245EF2"/>
    <w:rsid w:val="002604B9"/>
    <w:rsid w:val="002C4C4E"/>
    <w:rsid w:val="002D2202"/>
    <w:rsid w:val="003067A0"/>
    <w:rsid w:val="00314335"/>
    <w:rsid w:val="00372806"/>
    <w:rsid w:val="003A75E9"/>
    <w:rsid w:val="003B0729"/>
    <w:rsid w:val="003D6207"/>
    <w:rsid w:val="00406A43"/>
    <w:rsid w:val="00431B02"/>
    <w:rsid w:val="00465F35"/>
    <w:rsid w:val="00483B81"/>
    <w:rsid w:val="004A354F"/>
    <w:rsid w:val="004C148A"/>
    <w:rsid w:val="004C531E"/>
    <w:rsid w:val="00503A01"/>
    <w:rsid w:val="00511CE4"/>
    <w:rsid w:val="0056064A"/>
    <w:rsid w:val="00565EF7"/>
    <w:rsid w:val="00586722"/>
    <w:rsid w:val="005B45D9"/>
    <w:rsid w:val="005C4DB9"/>
    <w:rsid w:val="00615301"/>
    <w:rsid w:val="006179FB"/>
    <w:rsid w:val="00632C46"/>
    <w:rsid w:val="00636B96"/>
    <w:rsid w:val="006B1FC0"/>
    <w:rsid w:val="00725167"/>
    <w:rsid w:val="00780FDD"/>
    <w:rsid w:val="00783A2A"/>
    <w:rsid w:val="007C4B9C"/>
    <w:rsid w:val="0080418B"/>
    <w:rsid w:val="00804614"/>
    <w:rsid w:val="0081575C"/>
    <w:rsid w:val="008A442C"/>
    <w:rsid w:val="008B4118"/>
    <w:rsid w:val="008C025F"/>
    <w:rsid w:val="008D3DDE"/>
    <w:rsid w:val="008D77A9"/>
    <w:rsid w:val="008E0F69"/>
    <w:rsid w:val="008E221D"/>
    <w:rsid w:val="008E4BA2"/>
    <w:rsid w:val="008E7C9B"/>
    <w:rsid w:val="009458BA"/>
    <w:rsid w:val="009745AC"/>
    <w:rsid w:val="009F5DAD"/>
    <w:rsid w:val="00A355FD"/>
    <w:rsid w:val="00A66EA6"/>
    <w:rsid w:val="00A746F3"/>
    <w:rsid w:val="00AA01A6"/>
    <w:rsid w:val="00AA4174"/>
    <w:rsid w:val="00AC24E2"/>
    <w:rsid w:val="00AE0F43"/>
    <w:rsid w:val="00AE20D4"/>
    <w:rsid w:val="00AF2C77"/>
    <w:rsid w:val="00B111CD"/>
    <w:rsid w:val="00B8093D"/>
    <w:rsid w:val="00B85D99"/>
    <w:rsid w:val="00B930F5"/>
    <w:rsid w:val="00BA1F2B"/>
    <w:rsid w:val="00BD01A4"/>
    <w:rsid w:val="00BE616A"/>
    <w:rsid w:val="00BE645C"/>
    <w:rsid w:val="00C1091D"/>
    <w:rsid w:val="00C6290E"/>
    <w:rsid w:val="00C83E88"/>
    <w:rsid w:val="00CA3187"/>
    <w:rsid w:val="00CC4195"/>
    <w:rsid w:val="00CD51F7"/>
    <w:rsid w:val="00CD734E"/>
    <w:rsid w:val="00CE7DC5"/>
    <w:rsid w:val="00CF4F9A"/>
    <w:rsid w:val="00D163A7"/>
    <w:rsid w:val="00D513C4"/>
    <w:rsid w:val="00D7262F"/>
    <w:rsid w:val="00DA00D9"/>
    <w:rsid w:val="00DC18AE"/>
    <w:rsid w:val="00DE7E97"/>
    <w:rsid w:val="00DE7F68"/>
    <w:rsid w:val="00E109DF"/>
    <w:rsid w:val="00E20CB0"/>
    <w:rsid w:val="00E31401"/>
    <w:rsid w:val="00E419F1"/>
    <w:rsid w:val="00E42DFC"/>
    <w:rsid w:val="00E627E0"/>
    <w:rsid w:val="00E65F7A"/>
    <w:rsid w:val="00E81914"/>
    <w:rsid w:val="00E85563"/>
    <w:rsid w:val="00EA08A4"/>
    <w:rsid w:val="00EB1384"/>
    <w:rsid w:val="00F27B7F"/>
    <w:rsid w:val="00F64671"/>
    <w:rsid w:val="00F8667A"/>
    <w:rsid w:val="00FA4737"/>
    <w:rsid w:val="00FC6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E82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ld">
    <w:name w:val="Bold"/>
    <w:basedOn w:val="DefaultParagraphFont"/>
    <w:uiPriority w:val="1"/>
    <w:rsid w:val="00DC18AE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4"/>
    <w:qFormat/>
    <w:rsid w:val="005C4DB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D3D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3DDE"/>
  </w:style>
  <w:style w:type="paragraph" w:styleId="Footer">
    <w:name w:val="footer"/>
    <w:basedOn w:val="Normal"/>
    <w:link w:val="FooterChar"/>
    <w:uiPriority w:val="99"/>
    <w:unhideWhenUsed/>
    <w:rsid w:val="008D3D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3DD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E82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ld">
    <w:name w:val="Bold"/>
    <w:basedOn w:val="DefaultParagraphFont"/>
    <w:uiPriority w:val="1"/>
    <w:rsid w:val="00DC18AE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4"/>
    <w:qFormat/>
    <w:rsid w:val="005C4DB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D3D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3DDE"/>
  </w:style>
  <w:style w:type="paragraph" w:styleId="Footer">
    <w:name w:val="footer"/>
    <w:basedOn w:val="Normal"/>
    <w:link w:val="FooterChar"/>
    <w:uiPriority w:val="99"/>
    <w:unhideWhenUsed/>
    <w:rsid w:val="008D3D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3D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423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2014-03-31T22:57:00Z</dcterms:created>
  <dcterms:modified xsi:type="dcterms:W3CDTF">2014-06-18T19:40:00Z</dcterms:modified>
</cp:coreProperties>
</file>