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C62" w:rsidRDefault="00097C62" w:rsidP="00097C62">
      <w:pPr>
        <w:spacing w:after="0" w:line="240" w:lineRule="auto"/>
        <w:jc w:val="both"/>
        <w:rPr>
          <w:rFonts w:ascii="Times New Roman" w:eastAsia="Arial" w:hAnsi="Times New Roman"/>
          <w:sz w:val="26"/>
          <w:szCs w:val="26"/>
        </w:rPr>
      </w:pPr>
      <w:bookmarkStart w:id="0" w:name="_GoBack"/>
      <w:bookmarkEnd w:id="0"/>
      <w:r>
        <w:rPr>
          <w:rFonts w:ascii="Times New Roman" w:eastAsia="Arial" w:hAnsi="Times New Roman"/>
          <w:b/>
          <w:sz w:val="26"/>
          <w:szCs w:val="26"/>
          <w:u w:val="single"/>
        </w:rPr>
        <w:t>ANNOTATIONS AND COMMENTS</w:t>
      </w:r>
    </w:p>
    <w:p w:rsidR="00097C62" w:rsidRDefault="00097C62" w:rsidP="00097C62">
      <w:pPr>
        <w:spacing w:after="0" w:line="240" w:lineRule="auto"/>
        <w:jc w:val="both"/>
        <w:rPr>
          <w:rFonts w:ascii="Times New Roman" w:eastAsia="Arial" w:hAnsi="Times New Roman"/>
          <w:sz w:val="26"/>
          <w:szCs w:val="26"/>
        </w:rPr>
      </w:pPr>
    </w:p>
    <w:p w:rsidR="00097C62" w:rsidRDefault="00097C62" w:rsidP="00097C62">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1005 (third paragraph) provides:</w:t>
      </w:r>
    </w:p>
    <w:p w:rsidR="00097C62" w:rsidRDefault="00097C62" w:rsidP="00097C62">
      <w:pPr>
        <w:spacing w:after="0" w:line="240" w:lineRule="auto"/>
        <w:jc w:val="both"/>
        <w:rPr>
          <w:rFonts w:ascii="Times New Roman" w:eastAsia="Arial" w:hAnsi="Times New Roman"/>
          <w:sz w:val="26"/>
          <w:szCs w:val="26"/>
        </w:rPr>
      </w:pPr>
    </w:p>
    <w:p w:rsidR="00097C62" w:rsidRDefault="00097C62" w:rsidP="00097C62">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makes any false entry in any book, report, or statement of [an insured bank] with intent to injure or defraud such bank… or to deceive any officer of such bank… or the Comptroller of the Currency, or the Federal Deposit Insurance Corporation, or any agent or examiner appointed to examine the affairs of such bank… or the Board of Governors of the Federal Reserve System [shall be guilty of an offense against the United States].</w:t>
      </w:r>
    </w:p>
    <w:p w:rsidR="00097C62" w:rsidRDefault="00097C62" w:rsidP="00097C62">
      <w:pPr>
        <w:spacing w:after="0" w:line="240" w:lineRule="auto"/>
        <w:jc w:val="both"/>
        <w:rPr>
          <w:rFonts w:ascii="Times New Roman" w:eastAsia="Arial" w:hAnsi="Times New Roman"/>
          <w:sz w:val="26"/>
          <w:szCs w:val="26"/>
        </w:rPr>
      </w:pPr>
    </w:p>
    <w:p w:rsidR="00097C62" w:rsidRDefault="00097C62" w:rsidP="00097C6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Thirty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$1,000,000 fine.</w:t>
      </w:r>
    </w:p>
    <w:p w:rsidR="00097C62" w:rsidRDefault="00097C62" w:rsidP="00097C62">
      <w:pPr>
        <w:spacing w:after="0" w:line="240" w:lineRule="auto"/>
        <w:jc w:val="both"/>
        <w:rPr>
          <w:rFonts w:ascii="Times New Roman" w:eastAsia="Arial" w:hAnsi="Times New Roman"/>
          <w:sz w:val="26"/>
          <w:szCs w:val="26"/>
        </w:rPr>
      </w:pPr>
    </w:p>
    <w:p w:rsidR="00097C62" w:rsidRDefault="00097C62" w:rsidP="00097C62">
      <w:pPr>
        <w:spacing w:after="0" w:line="240" w:lineRule="auto"/>
        <w:jc w:val="both"/>
        <w:rPr>
          <w:rFonts w:ascii="Times New Roman" w:eastAsia="Arial" w:hAnsi="Times New Roman"/>
          <w:sz w:val="26"/>
          <w:szCs w:val="26"/>
        </w:rPr>
      </w:pPr>
      <w:r w:rsidRPr="002D7E30">
        <w:rPr>
          <w:rFonts w:ascii="Times New Roman" w:eastAsia="Arial" w:hAnsi="Times New Roman"/>
          <w:i/>
          <w:sz w:val="26"/>
          <w:szCs w:val="26"/>
        </w:rPr>
        <w:t>United States v. Rapp</w:t>
      </w:r>
      <w:r>
        <w:rPr>
          <w:rFonts w:ascii="Times New Roman" w:eastAsia="Arial" w:hAnsi="Times New Roman"/>
          <w:sz w:val="26"/>
          <w:szCs w:val="26"/>
        </w:rPr>
        <w:t>, 871 F.2d 957, 963 (11</w:t>
      </w:r>
      <w:r w:rsidRPr="00C5136A">
        <w:rPr>
          <w:rFonts w:ascii="Times New Roman" w:eastAsia="Arial" w:hAnsi="Times New Roman"/>
          <w:sz w:val="26"/>
          <w:szCs w:val="26"/>
          <w:vertAlign w:val="superscript"/>
        </w:rPr>
        <w:t>th</w:t>
      </w:r>
      <w:r>
        <w:rPr>
          <w:rFonts w:ascii="Times New Roman" w:eastAsia="Arial" w:hAnsi="Times New Roman"/>
          <w:sz w:val="26"/>
          <w:szCs w:val="26"/>
        </w:rPr>
        <w:t xml:space="preserve"> Cir. 1989), statute requires knowing and willful making of a false entry with knowledge of its falsity and with intent to deceive or defraud a bank. As the Tenth Circuit has explained, the defendant himself need not make the false entries in bank records; “it suffices that he set in motion management actions that necessarily caused [bank personnel] to make false entries.” </w:t>
      </w:r>
      <w:r w:rsidRPr="002D7E30">
        <w:rPr>
          <w:rFonts w:ascii="Times New Roman" w:eastAsia="Arial" w:hAnsi="Times New Roman"/>
          <w:i/>
          <w:sz w:val="26"/>
          <w:szCs w:val="26"/>
        </w:rPr>
        <w:t>United States v. Weidner</w:t>
      </w:r>
      <w:r>
        <w:rPr>
          <w:rFonts w:ascii="Times New Roman" w:eastAsia="Arial" w:hAnsi="Times New Roman"/>
          <w:sz w:val="26"/>
          <w:szCs w:val="26"/>
        </w:rPr>
        <w:t>, 437 F.3d 1023, 1037 (10</w:t>
      </w:r>
      <w:r w:rsidRPr="00C5136A">
        <w:rPr>
          <w:rFonts w:ascii="Times New Roman" w:eastAsia="Arial" w:hAnsi="Times New Roman"/>
          <w:sz w:val="26"/>
          <w:szCs w:val="26"/>
          <w:vertAlign w:val="superscript"/>
        </w:rPr>
        <w:t>th</w:t>
      </w:r>
      <w:r>
        <w:rPr>
          <w:rFonts w:ascii="Times New Roman" w:eastAsia="Arial" w:hAnsi="Times New Roman"/>
          <w:sz w:val="26"/>
          <w:szCs w:val="26"/>
        </w:rPr>
        <w:t xml:space="preserve"> Cir. 2006).</w:t>
      </w:r>
    </w:p>
    <w:p w:rsidR="00097C62" w:rsidRDefault="00097C62" w:rsidP="00097C62">
      <w:pPr>
        <w:spacing w:after="0" w:line="240" w:lineRule="auto"/>
        <w:jc w:val="both"/>
        <w:rPr>
          <w:rFonts w:ascii="Times New Roman" w:eastAsia="Arial" w:hAnsi="Times New Roman"/>
          <w:sz w:val="26"/>
          <w:szCs w:val="26"/>
        </w:rPr>
      </w:pPr>
    </w:p>
    <w:p w:rsidR="00097C62" w:rsidRDefault="00097C62" w:rsidP="00097C62">
      <w:pPr>
        <w:spacing w:after="0" w:line="240" w:lineRule="auto"/>
        <w:jc w:val="both"/>
        <w:rPr>
          <w:rFonts w:ascii="Times New Roman" w:eastAsia="Arial" w:hAnsi="Times New Roman"/>
          <w:sz w:val="26"/>
          <w:szCs w:val="26"/>
        </w:rPr>
      </w:pPr>
      <w:r>
        <w:rPr>
          <w:rFonts w:ascii="Times New Roman" w:eastAsia="Arial" w:hAnsi="Times New Roman"/>
          <w:sz w:val="26"/>
          <w:szCs w:val="26"/>
        </w:rPr>
        <w:t>The committee believes that the general definition of “willfully” in Basic Instruction 9.1A would usually apply to this crime.</w:t>
      </w:r>
    </w:p>
    <w:p w:rsidR="00097C62" w:rsidRDefault="00097C62" w:rsidP="00097C62">
      <w:pPr>
        <w:spacing w:after="0" w:line="240" w:lineRule="auto"/>
        <w:jc w:val="both"/>
        <w:rPr>
          <w:rFonts w:ascii="Times New Roman" w:eastAsia="Arial" w:hAnsi="Times New Roman"/>
          <w:sz w:val="26"/>
          <w:szCs w:val="26"/>
        </w:rPr>
      </w:pPr>
    </w:p>
    <w:p w:rsidR="00097C62" w:rsidRDefault="00097C62" w:rsidP="00097C6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There are no decisions in the Eleventh Circuit as to whether materiality is an element of this offense. However, because the statute expressly requires that the false entry be made “with intent to defraud,” the Committee believes that materiality is an essential element of the offense that must be submitted to the jury under the Supreme Court decisions in </w:t>
      </w:r>
      <w:r w:rsidRPr="002D7E30">
        <w:rPr>
          <w:rFonts w:ascii="Times New Roman" w:eastAsia="Arial" w:hAnsi="Times New Roman"/>
          <w:i/>
          <w:sz w:val="26"/>
          <w:szCs w:val="26"/>
        </w:rPr>
        <w:t>United States v. Gaudin</w:t>
      </w:r>
      <w:r>
        <w:rPr>
          <w:rFonts w:ascii="Times New Roman" w:eastAsia="Arial" w:hAnsi="Times New Roman"/>
          <w:sz w:val="26"/>
          <w:szCs w:val="26"/>
        </w:rPr>
        <w:t xml:space="preserve">, 515 U.S. 506, 115 S. Ct. 2310 (1995); </w:t>
      </w:r>
      <w:r w:rsidRPr="002D7E30">
        <w:rPr>
          <w:rFonts w:ascii="Times New Roman" w:eastAsia="Arial" w:hAnsi="Times New Roman"/>
          <w:i/>
          <w:sz w:val="26"/>
          <w:szCs w:val="26"/>
        </w:rPr>
        <w:t>United States v. Wells</w:t>
      </w:r>
      <w:r>
        <w:rPr>
          <w:rFonts w:ascii="Times New Roman" w:eastAsia="Arial" w:hAnsi="Times New Roman"/>
          <w:sz w:val="26"/>
          <w:szCs w:val="26"/>
        </w:rPr>
        <w:t xml:space="preserve">, 519 U.S. 482, 117 S. Ct. 921 (1997); and </w:t>
      </w:r>
      <w:r w:rsidRPr="002D7E30">
        <w:rPr>
          <w:rFonts w:ascii="Times New Roman" w:eastAsia="Arial" w:hAnsi="Times New Roman"/>
          <w:i/>
          <w:sz w:val="26"/>
          <w:szCs w:val="26"/>
        </w:rPr>
        <w:t>Neder v. United States</w:t>
      </w:r>
      <w:r>
        <w:rPr>
          <w:rFonts w:ascii="Times New Roman" w:eastAsia="Arial" w:hAnsi="Times New Roman"/>
          <w:sz w:val="26"/>
          <w:szCs w:val="26"/>
        </w:rPr>
        <w:t xml:space="preserve">, 527 U.S. 1, 119 S. Ct. 1827 (1999). The Court concluded in </w:t>
      </w:r>
      <w:r w:rsidRPr="002D7E30">
        <w:rPr>
          <w:rFonts w:ascii="Times New Roman" w:eastAsia="Arial" w:hAnsi="Times New Roman"/>
          <w:i/>
          <w:sz w:val="26"/>
          <w:szCs w:val="26"/>
        </w:rPr>
        <w:t>Wells</w:t>
      </w:r>
      <w:r>
        <w:rPr>
          <w:rFonts w:ascii="Times New Roman" w:eastAsia="Arial" w:hAnsi="Times New Roman"/>
          <w:sz w:val="26"/>
          <w:szCs w:val="26"/>
        </w:rPr>
        <w:t xml:space="preserve"> that materiality was not an element of the offense of making a “false statement” in violation of 18 U.S.C. § 1014, but held in </w:t>
      </w:r>
      <w:r w:rsidRPr="002D7E30">
        <w:rPr>
          <w:rFonts w:ascii="Times New Roman" w:eastAsia="Arial" w:hAnsi="Times New Roman"/>
          <w:i/>
          <w:sz w:val="26"/>
          <w:szCs w:val="26"/>
        </w:rPr>
        <w:t>Neder</w:t>
      </w:r>
      <w:r>
        <w:rPr>
          <w:rFonts w:ascii="Times New Roman" w:eastAsia="Arial" w:hAnsi="Times New Roman"/>
          <w:sz w:val="26"/>
          <w:szCs w:val="26"/>
        </w:rPr>
        <w:t xml:space="preserve"> that use of the words “fraud” or “fraudulently” as terms of art in 18 U.S.C. §§ 1341, 1343, and 1344 incorporated the common law requirement that proof of fraud necessitates proof of misrepresentation or concealment of a material fact. And, </w:t>
      </w:r>
      <w:r w:rsidRPr="002D7E30">
        <w:rPr>
          <w:rFonts w:ascii="Times New Roman" w:eastAsia="Arial" w:hAnsi="Times New Roman"/>
          <w:i/>
          <w:sz w:val="26"/>
          <w:szCs w:val="26"/>
        </w:rPr>
        <w:t>Gaudin</w:t>
      </w:r>
      <w:r>
        <w:rPr>
          <w:rFonts w:ascii="Times New Roman" w:eastAsia="Arial" w:hAnsi="Times New Roman"/>
          <w:sz w:val="26"/>
          <w:szCs w:val="26"/>
        </w:rPr>
        <w:t xml:space="preserve"> held that when materiality is an essential element of an offense, it must be submitted to the jury.</w:t>
      </w:r>
    </w:p>
    <w:p w:rsidR="00097C62" w:rsidRDefault="00097C62" w:rsidP="00097C62">
      <w:pPr>
        <w:spacing w:after="0" w:line="240" w:lineRule="auto"/>
        <w:jc w:val="both"/>
        <w:rPr>
          <w:rFonts w:ascii="Times New Roman" w:eastAsia="Arial" w:hAnsi="Times New Roman"/>
          <w:sz w:val="26"/>
          <w:szCs w:val="26"/>
        </w:rPr>
      </w:pPr>
    </w:p>
    <w:p w:rsidR="00725167" w:rsidRPr="00097C62" w:rsidRDefault="00097C62" w:rsidP="00097C62">
      <w:pPr>
        <w:spacing w:after="0" w:line="240" w:lineRule="auto"/>
        <w:jc w:val="both"/>
        <w:rPr>
          <w:rFonts w:ascii="Times New Roman" w:eastAsia="Arial" w:hAnsi="Times New Roman"/>
          <w:sz w:val="26"/>
          <w:szCs w:val="26"/>
        </w:rPr>
      </w:pPr>
      <w:r>
        <w:rPr>
          <w:rFonts w:ascii="Times New Roman" w:eastAsia="Arial" w:hAnsi="Times New Roman"/>
          <w:sz w:val="26"/>
          <w:szCs w:val="26"/>
        </w:rPr>
        <w:t>See Trial Instruction 6 for use in submitting forfeiture issues to the jury.</w:t>
      </w:r>
    </w:p>
    <w:sectPr w:rsidR="00725167" w:rsidRPr="00097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8AA" w:rsidRDefault="009068AA" w:rsidP="009068AA">
      <w:pPr>
        <w:spacing w:after="0" w:line="240" w:lineRule="auto"/>
      </w:pPr>
      <w:r>
        <w:separator/>
      </w:r>
    </w:p>
  </w:endnote>
  <w:endnote w:type="continuationSeparator" w:id="0">
    <w:p w:rsidR="009068AA" w:rsidRDefault="009068AA" w:rsidP="0090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8AA" w:rsidRDefault="009068AA" w:rsidP="009068AA">
      <w:pPr>
        <w:spacing w:after="0" w:line="240" w:lineRule="auto"/>
      </w:pPr>
      <w:r>
        <w:separator/>
      </w:r>
    </w:p>
  </w:footnote>
  <w:footnote w:type="continuationSeparator" w:id="0">
    <w:p w:rsidR="009068AA" w:rsidRDefault="009068AA" w:rsidP="009068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87D55"/>
    <w:rsid w:val="00091548"/>
    <w:rsid w:val="00097C62"/>
    <w:rsid w:val="000A7260"/>
    <w:rsid w:val="000B303C"/>
    <w:rsid w:val="000C1BFC"/>
    <w:rsid w:val="000C32C1"/>
    <w:rsid w:val="00110446"/>
    <w:rsid w:val="001217D5"/>
    <w:rsid w:val="0012744C"/>
    <w:rsid w:val="00135397"/>
    <w:rsid w:val="00157747"/>
    <w:rsid w:val="00166AB9"/>
    <w:rsid w:val="00194E82"/>
    <w:rsid w:val="001E5B53"/>
    <w:rsid w:val="002329BF"/>
    <w:rsid w:val="00233997"/>
    <w:rsid w:val="00236275"/>
    <w:rsid w:val="00245EF2"/>
    <w:rsid w:val="002604B9"/>
    <w:rsid w:val="00295101"/>
    <w:rsid w:val="002D2202"/>
    <w:rsid w:val="002D7E30"/>
    <w:rsid w:val="003067A0"/>
    <w:rsid w:val="00314335"/>
    <w:rsid w:val="00372806"/>
    <w:rsid w:val="003A75E9"/>
    <w:rsid w:val="003B0729"/>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725167"/>
    <w:rsid w:val="00780FDD"/>
    <w:rsid w:val="00783A2A"/>
    <w:rsid w:val="007C4B9C"/>
    <w:rsid w:val="0080418B"/>
    <w:rsid w:val="00804614"/>
    <w:rsid w:val="0081575C"/>
    <w:rsid w:val="008A442C"/>
    <w:rsid w:val="008B4118"/>
    <w:rsid w:val="008C025F"/>
    <w:rsid w:val="008D77A9"/>
    <w:rsid w:val="008E0F69"/>
    <w:rsid w:val="008E221D"/>
    <w:rsid w:val="008E4BA2"/>
    <w:rsid w:val="008E7C9B"/>
    <w:rsid w:val="009068AA"/>
    <w:rsid w:val="009458BA"/>
    <w:rsid w:val="009745AC"/>
    <w:rsid w:val="009F5DAD"/>
    <w:rsid w:val="00A355FD"/>
    <w:rsid w:val="00A66EA6"/>
    <w:rsid w:val="00A746F3"/>
    <w:rsid w:val="00AA01A6"/>
    <w:rsid w:val="00AA4174"/>
    <w:rsid w:val="00AC24E2"/>
    <w:rsid w:val="00AE0F43"/>
    <w:rsid w:val="00AE20D4"/>
    <w:rsid w:val="00AF2C77"/>
    <w:rsid w:val="00B111CD"/>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06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8AA"/>
  </w:style>
  <w:style w:type="paragraph" w:styleId="Footer">
    <w:name w:val="footer"/>
    <w:basedOn w:val="Normal"/>
    <w:link w:val="FooterChar"/>
    <w:uiPriority w:val="99"/>
    <w:unhideWhenUsed/>
    <w:rsid w:val="00906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06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8AA"/>
  </w:style>
  <w:style w:type="paragraph" w:styleId="Footer">
    <w:name w:val="footer"/>
    <w:basedOn w:val="Normal"/>
    <w:link w:val="FooterChar"/>
    <w:uiPriority w:val="99"/>
    <w:unhideWhenUsed/>
    <w:rsid w:val="00906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2014-03-31T22:56:00Z</dcterms:created>
  <dcterms:modified xsi:type="dcterms:W3CDTF">2014-06-17T23:28:00Z</dcterms:modified>
</cp:coreProperties>
</file>