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304" w:rsidRDefault="00B11304" w:rsidP="00B11304">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B11304" w:rsidRDefault="00B11304" w:rsidP="00B11304">
      <w:pPr>
        <w:spacing w:after="0" w:line="240" w:lineRule="auto"/>
        <w:jc w:val="both"/>
        <w:rPr>
          <w:rFonts w:ascii="Times New Roman" w:eastAsia="Arial" w:hAnsi="Times New Roman"/>
          <w:sz w:val="26"/>
          <w:szCs w:val="26"/>
        </w:rPr>
      </w:pPr>
    </w:p>
    <w:p w:rsidR="00B11304" w:rsidRDefault="00B11304" w:rsidP="00B11304">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1014 provides:</w:t>
      </w:r>
    </w:p>
    <w:p w:rsidR="00B11304" w:rsidRDefault="00B11304" w:rsidP="00B11304">
      <w:pPr>
        <w:spacing w:after="0" w:line="240" w:lineRule="auto"/>
        <w:jc w:val="both"/>
        <w:rPr>
          <w:rFonts w:ascii="Times New Roman" w:eastAsia="Arial" w:hAnsi="Times New Roman"/>
          <w:sz w:val="26"/>
          <w:szCs w:val="26"/>
        </w:rPr>
      </w:pPr>
    </w:p>
    <w:p w:rsidR="00B11304" w:rsidRDefault="00B11304" w:rsidP="00B11304">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knowingly makes any false statement or report, or willfully overvalues any land, property or security, for the purpose of influencing in any way the action of… any institution the accounts of which are insured by the Federal Deposit Insurance Corporation, … [or] the Resolution Trust Corporation… upon any application, advance,… commitment, or loan, or any change or extension of any of the same [shall be guilty of an offense against the United States].</w:t>
      </w:r>
    </w:p>
    <w:p w:rsidR="00B11304" w:rsidRDefault="00B11304" w:rsidP="00B11304">
      <w:pPr>
        <w:spacing w:after="0" w:line="240" w:lineRule="auto"/>
        <w:jc w:val="both"/>
        <w:rPr>
          <w:rFonts w:ascii="Times New Roman" w:eastAsia="Arial" w:hAnsi="Times New Roman"/>
          <w:sz w:val="26"/>
          <w:szCs w:val="26"/>
        </w:rPr>
      </w:pPr>
    </w:p>
    <w:p w:rsidR="00B11304" w:rsidRDefault="00B11304" w:rsidP="00B11304">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Maximum Penalty: Thirty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30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and applicable fine.</w:t>
      </w:r>
    </w:p>
    <w:p w:rsidR="00B11304" w:rsidRDefault="00B11304" w:rsidP="00B11304">
      <w:pPr>
        <w:spacing w:after="0" w:line="240" w:lineRule="auto"/>
        <w:jc w:val="both"/>
        <w:rPr>
          <w:rFonts w:ascii="Times New Roman" w:eastAsia="Arial" w:hAnsi="Times New Roman"/>
          <w:sz w:val="26"/>
          <w:szCs w:val="26"/>
        </w:rPr>
      </w:pPr>
    </w:p>
    <w:p w:rsidR="00B11304" w:rsidRDefault="00B11304" w:rsidP="00B11304">
      <w:pPr>
        <w:spacing w:after="0" w:line="240" w:lineRule="auto"/>
        <w:jc w:val="both"/>
        <w:rPr>
          <w:rFonts w:ascii="Times New Roman" w:eastAsia="Arial" w:hAnsi="Times New Roman"/>
          <w:sz w:val="26"/>
          <w:szCs w:val="26"/>
        </w:rPr>
      </w:pPr>
      <w:r w:rsidRPr="00470304">
        <w:rPr>
          <w:rFonts w:ascii="Times New Roman" w:eastAsia="Arial" w:hAnsi="Times New Roman"/>
          <w:i/>
          <w:sz w:val="26"/>
          <w:szCs w:val="26"/>
        </w:rPr>
        <w:t>United States v. Key</w:t>
      </w:r>
      <w:r>
        <w:rPr>
          <w:rFonts w:ascii="Times New Roman" w:eastAsia="Arial" w:hAnsi="Times New Roman"/>
          <w:sz w:val="26"/>
          <w:szCs w:val="26"/>
        </w:rPr>
        <w:t>, 76 F.3d 350, 353 (11</w:t>
      </w:r>
      <w:r w:rsidRPr="00CE1266">
        <w:rPr>
          <w:rFonts w:ascii="Times New Roman" w:eastAsia="Arial" w:hAnsi="Times New Roman"/>
          <w:sz w:val="26"/>
          <w:szCs w:val="26"/>
          <w:vertAlign w:val="superscript"/>
        </w:rPr>
        <w:t>th</w:t>
      </w:r>
      <w:r>
        <w:rPr>
          <w:rFonts w:ascii="Times New Roman" w:eastAsia="Arial" w:hAnsi="Times New Roman"/>
          <w:sz w:val="26"/>
          <w:szCs w:val="26"/>
        </w:rPr>
        <w:t xml:space="preserve"> Cir. 1996), a defendant need not know of the victim institution’s insured status to be guilty of this offense; rather, it is sufficient that the defendant knowingly directed conduct at a bank that the government proves was insured.</w:t>
      </w:r>
    </w:p>
    <w:p w:rsidR="00B11304" w:rsidRDefault="00B11304" w:rsidP="00B11304">
      <w:pPr>
        <w:spacing w:after="0" w:line="240" w:lineRule="auto"/>
        <w:jc w:val="both"/>
        <w:rPr>
          <w:rFonts w:ascii="Times New Roman" w:eastAsia="Arial" w:hAnsi="Times New Roman"/>
          <w:sz w:val="26"/>
          <w:szCs w:val="26"/>
        </w:rPr>
      </w:pPr>
    </w:p>
    <w:p w:rsidR="00B11304" w:rsidRDefault="00B11304" w:rsidP="00B11304">
      <w:pPr>
        <w:spacing w:after="0" w:line="240" w:lineRule="auto"/>
        <w:jc w:val="both"/>
        <w:rPr>
          <w:rFonts w:ascii="Times New Roman" w:eastAsia="Arial" w:hAnsi="Times New Roman"/>
          <w:sz w:val="26"/>
          <w:szCs w:val="26"/>
        </w:rPr>
      </w:pPr>
      <w:r w:rsidRPr="00470304">
        <w:rPr>
          <w:rFonts w:ascii="Times New Roman" w:eastAsia="Arial" w:hAnsi="Times New Roman"/>
          <w:i/>
          <w:sz w:val="26"/>
          <w:szCs w:val="26"/>
        </w:rPr>
        <w:t>United States v. Greene</w:t>
      </w:r>
      <w:r>
        <w:rPr>
          <w:rFonts w:ascii="Times New Roman" w:eastAsia="Arial" w:hAnsi="Times New Roman"/>
          <w:sz w:val="26"/>
          <w:szCs w:val="26"/>
        </w:rPr>
        <w:t>, 862 F.2d 1512, 1514 (11</w:t>
      </w:r>
      <w:r w:rsidRPr="00CE1266">
        <w:rPr>
          <w:rFonts w:ascii="Times New Roman" w:eastAsia="Arial" w:hAnsi="Times New Roman"/>
          <w:sz w:val="26"/>
          <w:szCs w:val="26"/>
          <w:vertAlign w:val="superscript"/>
        </w:rPr>
        <w:t>th</w:t>
      </w:r>
      <w:r>
        <w:rPr>
          <w:rFonts w:ascii="Times New Roman" w:eastAsia="Arial" w:hAnsi="Times New Roman"/>
          <w:sz w:val="26"/>
          <w:szCs w:val="26"/>
        </w:rPr>
        <w:t xml:space="preserve"> Cir. 1989), section applies to representations made in connection with conventional loan or related transactions.</w:t>
      </w:r>
    </w:p>
    <w:p w:rsidR="00B11304" w:rsidRDefault="00B11304" w:rsidP="00B11304">
      <w:pPr>
        <w:spacing w:after="0" w:line="240" w:lineRule="auto"/>
        <w:jc w:val="both"/>
        <w:rPr>
          <w:rFonts w:ascii="Times New Roman" w:eastAsia="Arial" w:hAnsi="Times New Roman"/>
          <w:sz w:val="26"/>
          <w:szCs w:val="26"/>
        </w:rPr>
      </w:pPr>
    </w:p>
    <w:p w:rsidR="00B11304" w:rsidRDefault="00B11304" w:rsidP="00B11304">
      <w:pPr>
        <w:spacing w:after="0" w:line="240" w:lineRule="auto"/>
        <w:jc w:val="both"/>
        <w:rPr>
          <w:rFonts w:ascii="Times New Roman" w:eastAsia="Arial" w:hAnsi="Times New Roman"/>
          <w:sz w:val="26"/>
          <w:szCs w:val="26"/>
        </w:rPr>
      </w:pPr>
      <w:r w:rsidRPr="00470304">
        <w:rPr>
          <w:rFonts w:ascii="Times New Roman" w:eastAsia="Arial" w:hAnsi="Times New Roman"/>
          <w:i/>
          <w:sz w:val="26"/>
          <w:szCs w:val="26"/>
        </w:rPr>
        <w:t>United States v. Wells</w:t>
      </w:r>
      <w:r>
        <w:rPr>
          <w:rFonts w:ascii="Times New Roman" w:eastAsia="Arial" w:hAnsi="Times New Roman"/>
          <w:sz w:val="26"/>
          <w:szCs w:val="26"/>
        </w:rPr>
        <w:t>, 519 U.S. 482, 117 S. Ct. 921, 137 L. Ed. 2d 107 (1997), materiality is not an element of this offense.</w:t>
      </w:r>
    </w:p>
    <w:p w:rsidR="00B11304" w:rsidRDefault="00B11304" w:rsidP="00B11304">
      <w:pPr>
        <w:spacing w:after="0" w:line="240" w:lineRule="auto"/>
        <w:jc w:val="both"/>
        <w:rPr>
          <w:rFonts w:ascii="Times New Roman" w:eastAsia="Arial" w:hAnsi="Times New Roman"/>
          <w:sz w:val="26"/>
          <w:szCs w:val="26"/>
        </w:rPr>
      </w:pPr>
    </w:p>
    <w:p w:rsidR="00725167" w:rsidRPr="00B11304" w:rsidRDefault="00B11304" w:rsidP="00B11304">
      <w:pPr>
        <w:spacing w:after="0" w:line="240" w:lineRule="auto"/>
        <w:jc w:val="both"/>
        <w:rPr>
          <w:rFonts w:ascii="Times New Roman" w:eastAsia="Arial" w:hAnsi="Times New Roman"/>
          <w:sz w:val="26"/>
          <w:szCs w:val="26"/>
        </w:rPr>
      </w:pPr>
      <w:r>
        <w:rPr>
          <w:rFonts w:ascii="Times New Roman" w:eastAsia="Arial" w:hAnsi="Times New Roman"/>
          <w:sz w:val="26"/>
          <w:szCs w:val="26"/>
        </w:rPr>
        <w:t>Section 1014 also includes “willfully overvalues” as an alternative offense. If that is charged, this instruction must be modified accordingly. The committee believes that the general definition of “willfully” in Basic Instruction 9.1A would usually apply to this crime.</w:t>
      </w:r>
      <w:bookmarkEnd w:id="0"/>
    </w:p>
    <w:sectPr w:rsidR="00725167" w:rsidRPr="00B113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FB3" w:rsidRDefault="002E4FB3" w:rsidP="002E4FB3">
      <w:pPr>
        <w:spacing w:after="0" w:line="240" w:lineRule="auto"/>
      </w:pPr>
      <w:r>
        <w:separator/>
      </w:r>
    </w:p>
  </w:endnote>
  <w:endnote w:type="continuationSeparator" w:id="0">
    <w:p w:rsidR="002E4FB3" w:rsidRDefault="002E4FB3" w:rsidP="002E4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FB3" w:rsidRDefault="002E4FB3" w:rsidP="002E4FB3">
      <w:pPr>
        <w:spacing w:after="0" w:line="240" w:lineRule="auto"/>
      </w:pPr>
      <w:r>
        <w:separator/>
      </w:r>
    </w:p>
  </w:footnote>
  <w:footnote w:type="continuationSeparator" w:id="0">
    <w:p w:rsidR="002E4FB3" w:rsidRDefault="002E4FB3" w:rsidP="002E4F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5723A"/>
    <w:rsid w:val="0006716B"/>
    <w:rsid w:val="00087D55"/>
    <w:rsid w:val="00091548"/>
    <w:rsid w:val="00097C62"/>
    <w:rsid w:val="000A7260"/>
    <w:rsid w:val="000B303C"/>
    <w:rsid w:val="000C1BFC"/>
    <w:rsid w:val="000C32C1"/>
    <w:rsid w:val="000D5591"/>
    <w:rsid w:val="00110446"/>
    <w:rsid w:val="001217D5"/>
    <w:rsid w:val="0012744C"/>
    <w:rsid w:val="00135397"/>
    <w:rsid w:val="00157747"/>
    <w:rsid w:val="00166AB9"/>
    <w:rsid w:val="00194E82"/>
    <w:rsid w:val="001E5B53"/>
    <w:rsid w:val="002329BF"/>
    <w:rsid w:val="00233997"/>
    <w:rsid w:val="00236275"/>
    <w:rsid w:val="00245EF2"/>
    <w:rsid w:val="002604B9"/>
    <w:rsid w:val="002D2202"/>
    <w:rsid w:val="002E4FB3"/>
    <w:rsid w:val="003067A0"/>
    <w:rsid w:val="00314335"/>
    <w:rsid w:val="00372806"/>
    <w:rsid w:val="003A75E9"/>
    <w:rsid w:val="003B0729"/>
    <w:rsid w:val="003D6207"/>
    <w:rsid w:val="00406A43"/>
    <w:rsid w:val="00431B02"/>
    <w:rsid w:val="00465F35"/>
    <w:rsid w:val="00470304"/>
    <w:rsid w:val="00483B81"/>
    <w:rsid w:val="004A354F"/>
    <w:rsid w:val="004C148A"/>
    <w:rsid w:val="004C531E"/>
    <w:rsid w:val="00503A01"/>
    <w:rsid w:val="00511CE4"/>
    <w:rsid w:val="0056064A"/>
    <w:rsid w:val="00565EF7"/>
    <w:rsid w:val="00586722"/>
    <w:rsid w:val="005B45D9"/>
    <w:rsid w:val="005C4DB9"/>
    <w:rsid w:val="00615301"/>
    <w:rsid w:val="006179FB"/>
    <w:rsid w:val="00632C46"/>
    <w:rsid w:val="00636B96"/>
    <w:rsid w:val="00691749"/>
    <w:rsid w:val="006B1FC0"/>
    <w:rsid w:val="00725167"/>
    <w:rsid w:val="00780FDD"/>
    <w:rsid w:val="00783A2A"/>
    <w:rsid w:val="007C4B9C"/>
    <w:rsid w:val="0080418B"/>
    <w:rsid w:val="00804614"/>
    <w:rsid w:val="0081575C"/>
    <w:rsid w:val="008A442C"/>
    <w:rsid w:val="008B4118"/>
    <w:rsid w:val="008C025F"/>
    <w:rsid w:val="008D77A9"/>
    <w:rsid w:val="008E0F69"/>
    <w:rsid w:val="008E221D"/>
    <w:rsid w:val="008E4BA2"/>
    <w:rsid w:val="008E7C9B"/>
    <w:rsid w:val="009458BA"/>
    <w:rsid w:val="009745AC"/>
    <w:rsid w:val="009F5DAD"/>
    <w:rsid w:val="00A355FD"/>
    <w:rsid w:val="00A66EA6"/>
    <w:rsid w:val="00A746F3"/>
    <w:rsid w:val="00AA01A6"/>
    <w:rsid w:val="00AA4174"/>
    <w:rsid w:val="00AC24E2"/>
    <w:rsid w:val="00AE0F43"/>
    <w:rsid w:val="00AE20D4"/>
    <w:rsid w:val="00AF2C77"/>
    <w:rsid w:val="00B111CD"/>
    <w:rsid w:val="00B11304"/>
    <w:rsid w:val="00B8093D"/>
    <w:rsid w:val="00B85D99"/>
    <w:rsid w:val="00B930F5"/>
    <w:rsid w:val="00BA1F2B"/>
    <w:rsid w:val="00BD01A4"/>
    <w:rsid w:val="00BE616A"/>
    <w:rsid w:val="00BE645C"/>
    <w:rsid w:val="00C1091D"/>
    <w:rsid w:val="00C6290E"/>
    <w:rsid w:val="00C83E88"/>
    <w:rsid w:val="00CA3187"/>
    <w:rsid w:val="00CC4195"/>
    <w:rsid w:val="00CD51F7"/>
    <w:rsid w:val="00CD734E"/>
    <w:rsid w:val="00CE7DC5"/>
    <w:rsid w:val="00CF4F9A"/>
    <w:rsid w:val="00D163A7"/>
    <w:rsid w:val="00D513C4"/>
    <w:rsid w:val="00D7262F"/>
    <w:rsid w:val="00DA00D9"/>
    <w:rsid w:val="00DC18AE"/>
    <w:rsid w:val="00DE7E97"/>
    <w:rsid w:val="00DE7F68"/>
    <w:rsid w:val="00E109DF"/>
    <w:rsid w:val="00E20CB0"/>
    <w:rsid w:val="00E31401"/>
    <w:rsid w:val="00E419F1"/>
    <w:rsid w:val="00E42DFC"/>
    <w:rsid w:val="00E627E0"/>
    <w:rsid w:val="00E65F7A"/>
    <w:rsid w:val="00E81914"/>
    <w:rsid w:val="00E85563"/>
    <w:rsid w:val="00EA08A4"/>
    <w:rsid w:val="00EB1384"/>
    <w:rsid w:val="00F27B7F"/>
    <w:rsid w:val="00F64671"/>
    <w:rsid w:val="00F8667A"/>
    <w:rsid w:val="00FA4737"/>
    <w:rsid w:val="00FA6FCC"/>
    <w:rsid w:val="00FC6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E4F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FB3"/>
  </w:style>
  <w:style w:type="paragraph" w:styleId="Footer">
    <w:name w:val="footer"/>
    <w:basedOn w:val="Normal"/>
    <w:link w:val="FooterChar"/>
    <w:uiPriority w:val="99"/>
    <w:unhideWhenUsed/>
    <w:rsid w:val="002E4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F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2E4F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FB3"/>
  </w:style>
  <w:style w:type="paragraph" w:styleId="Footer">
    <w:name w:val="footer"/>
    <w:basedOn w:val="Normal"/>
    <w:link w:val="FooterChar"/>
    <w:uiPriority w:val="99"/>
    <w:unhideWhenUsed/>
    <w:rsid w:val="002E4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2014-03-31T22:55:00Z</dcterms:created>
  <dcterms:modified xsi:type="dcterms:W3CDTF">2014-06-17T23:22:00Z</dcterms:modified>
</cp:coreProperties>
</file>