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49D" w:rsidRDefault="008B149D" w:rsidP="008B149D">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8B149D" w:rsidRDefault="008B149D" w:rsidP="008B149D">
      <w:pPr>
        <w:spacing w:after="0" w:line="240" w:lineRule="auto"/>
        <w:jc w:val="both"/>
        <w:rPr>
          <w:rFonts w:ascii="Times New Roman" w:eastAsia="Arial" w:hAnsi="Times New Roman"/>
          <w:sz w:val="26"/>
          <w:szCs w:val="26"/>
        </w:rPr>
      </w:pPr>
    </w:p>
    <w:p w:rsidR="008B149D" w:rsidRDefault="008B149D" w:rsidP="008B149D">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1028</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8B149D" w:rsidRDefault="008B149D" w:rsidP="008B149D">
      <w:pPr>
        <w:spacing w:after="0" w:line="240" w:lineRule="auto"/>
        <w:jc w:val="both"/>
        <w:rPr>
          <w:rFonts w:ascii="Times New Roman" w:eastAsia="Arial" w:hAnsi="Times New Roman"/>
          <w:sz w:val="26"/>
          <w:szCs w:val="26"/>
        </w:rPr>
      </w:pPr>
    </w:p>
    <w:p w:rsidR="008B149D" w:rsidRDefault="008B149D" w:rsidP="008B149D">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Whoever… - -</w:t>
      </w:r>
    </w:p>
    <w:p w:rsidR="008B149D" w:rsidRDefault="008B149D" w:rsidP="008B149D">
      <w:pPr>
        <w:spacing w:after="0" w:line="240" w:lineRule="auto"/>
        <w:ind w:left="360" w:right="360" w:firstLine="360"/>
        <w:jc w:val="both"/>
        <w:rPr>
          <w:rFonts w:ascii="Times New Roman" w:eastAsia="Arial" w:hAnsi="Times New Roman"/>
          <w:sz w:val="26"/>
          <w:szCs w:val="26"/>
        </w:rPr>
      </w:pPr>
    </w:p>
    <w:p w:rsidR="008B149D" w:rsidRDefault="008B149D" w:rsidP="008B149D">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knowingly possesses with intent to use unlawfully or transfer unlawfully five or more identification documents (other than those issued lawfully for the use of the possessor), authentication features, or false identification documents [shall be guilty of an offense against the United States].</w:t>
      </w:r>
    </w:p>
    <w:p w:rsidR="008B149D" w:rsidRDefault="008B149D" w:rsidP="008B149D">
      <w:pPr>
        <w:spacing w:after="0" w:line="240" w:lineRule="auto"/>
        <w:ind w:right="720"/>
        <w:jc w:val="both"/>
        <w:rPr>
          <w:rFonts w:ascii="Times New Roman" w:eastAsia="Arial" w:hAnsi="Times New Roman"/>
          <w:sz w:val="26"/>
          <w:szCs w:val="26"/>
        </w:rPr>
      </w:pPr>
    </w:p>
    <w:p w:rsidR="008B149D" w:rsidRDefault="008B149D" w:rsidP="008B149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w:t>
      </w:r>
      <w:r w:rsidR="00856654">
        <w:rPr>
          <w:rFonts w:ascii="Times New Roman" w:eastAsia="Arial" w:hAnsi="Times New Roman"/>
          <w:sz w:val="26"/>
          <w:szCs w:val="26"/>
        </w:rPr>
        <w:t>p</w:t>
      </w:r>
      <w:r>
        <w:rPr>
          <w:rFonts w:ascii="Times New Roman" w:eastAsia="Arial" w:hAnsi="Times New Roman"/>
          <w:sz w:val="26"/>
          <w:szCs w:val="26"/>
        </w:rPr>
        <w:t>enalty: depends on the use of the documents and can be as many as 30 (thirty) years and applicable fine.</w:t>
      </w:r>
    </w:p>
    <w:p w:rsidR="008B149D" w:rsidRDefault="008B149D" w:rsidP="008B149D">
      <w:pPr>
        <w:spacing w:after="0" w:line="240" w:lineRule="auto"/>
        <w:jc w:val="both"/>
        <w:rPr>
          <w:rFonts w:ascii="Times New Roman" w:eastAsia="Arial" w:hAnsi="Times New Roman"/>
          <w:sz w:val="26"/>
          <w:szCs w:val="26"/>
        </w:rPr>
      </w:pPr>
    </w:p>
    <w:p w:rsidR="008B149D" w:rsidRDefault="008B149D" w:rsidP="008B149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in § 1028 is one of eight subsections in the statute concerning the possession, production, transfer, use and/or trafficking of false identification documents. The elements of this instruction can be modified to fit the facts of the case if the Defendant is charged with one of the seven other subsections.</w:t>
      </w:r>
    </w:p>
    <w:p w:rsidR="008B149D" w:rsidRDefault="008B149D" w:rsidP="008B149D">
      <w:pPr>
        <w:spacing w:after="0" w:line="240" w:lineRule="auto"/>
        <w:jc w:val="both"/>
        <w:rPr>
          <w:rFonts w:ascii="Times New Roman" w:eastAsia="Arial" w:hAnsi="Times New Roman"/>
          <w:sz w:val="26"/>
          <w:szCs w:val="26"/>
        </w:rPr>
      </w:pPr>
    </w:p>
    <w:p w:rsidR="008B149D" w:rsidRDefault="008B149D" w:rsidP="008B149D">
      <w:pPr>
        <w:spacing w:after="0" w:line="240" w:lineRule="auto"/>
        <w:jc w:val="both"/>
        <w:rPr>
          <w:rFonts w:ascii="Times New Roman" w:eastAsia="Arial" w:hAnsi="Times New Roman"/>
          <w:sz w:val="26"/>
          <w:szCs w:val="26"/>
        </w:rPr>
      </w:pPr>
      <w:r w:rsidRPr="00856654">
        <w:rPr>
          <w:rFonts w:ascii="Times New Roman" w:eastAsia="Arial" w:hAnsi="Times New Roman"/>
          <w:i/>
          <w:sz w:val="26"/>
          <w:szCs w:val="26"/>
        </w:rPr>
        <w:t>United States v. Alejandro</w:t>
      </w:r>
      <w:r>
        <w:rPr>
          <w:rFonts w:ascii="Times New Roman" w:eastAsia="Arial" w:hAnsi="Times New Roman"/>
          <w:sz w:val="26"/>
          <w:szCs w:val="26"/>
        </w:rPr>
        <w:t>, 118 F.3d 1518 (11</w:t>
      </w:r>
      <w:r w:rsidRPr="00DF25F8">
        <w:rPr>
          <w:rFonts w:ascii="Times New Roman" w:eastAsia="Arial" w:hAnsi="Times New Roman"/>
          <w:sz w:val="26"/>
          <w:szCs w:val="26"/>
          <w:vertAlign w:val="superscript"/>
        </w:rPr>
        <w:t>th</w:t>
      </w:r>
      <w:r>
        <w:rPr>
          <w:rFonts w:ascii="Times New Roman" w:eastAsia="Arial" w:hAnsi="Times New Roman"/>
          <w:sz w:val="26"/>
          <w:szCs w:val="26"/>
        </w:rPr>
        <w:t xml:space="preserve"> Cir. 1997), the Eleventh Circuit aff’d the trial court’s use of this instruction. In </w:t>
      </w:r>
      <w:r w:rsidRPr="00856654">
        <w:rPr>
          <w:rFonts w:ascii="Times New Roman" w:eastAsia="Arial" w:hAnsi="Times New Roman"/>
          <w:i/>
          <w:sz w:val="26"/>
          <w:szCs w:val="26"/>
        </w:rPr>
        <w:t>United States v. Klopf</w:t>
      </w:r>
      <w:r>
        <w:rPr>
          <w:rFonts w:ascii="Times New Roman" w:eastAsia="Arial" w:hAnsi="Times New Roman"/>
          <w:sz w:val="26"/>
          <w:szCs w:val="26"/>
        </w:rPr>
        <w:t>, 423 F.3d 1228, 1239 (11</w:t>
      </w:r>
      <w:r w:rsidRPr="00DF25F8">
        <w:rPr>
          <w:rFonts w:ascii="Times New Roman" w:eastAsia="Arial" w:hAnsi="Times New Roman"/>
          <w:sz w:val="26"/>
          <w:szCs w:val="26"/>
          <w:vertAlign w:val="superscript"/>
        </w:rPr>
        <w:t>th</w:t>
      </w:r>
      <w:r>
        <w:rPr>
          <w:rFonts w:ascii="Times New Roman" w:eastAsia="Arial" w:hAnsi="Times New Roman"/>
          <w:sz w:val="26"/>
          <w:szCs w:val="26"/>
        </w:rPr>
        <w:t xml:space="preserve"> Cir. 2005), the Eleventh Circuit again aff’d the use of this instruction, but it “clarified” the interstate or foreign commerce requirement:</w:t>
      </w:r>
    </w:p>
    <w:p w:rsidR="008B149D" w:rsidRDefault="008B149D" w:rsidP="008B149D">
      <w:pPr>
        <w:spacing w:after="0" w:line="240" w:lineRule="auto"/>
        <w:jc w:val="both"/>
        <w:rPr>
          <w:rFonts w:ascii="Times New Roman" w:eastAsia="Arial" w:hAnsi="Times New Roman"/>
          <w:sz w:val="26"/>
          <w:szCs w:val="26"/>
        </w:rPr>
      </w:pPr>
    </w:p>
    <w:p w:rsidR="008B149D" w:rsidRDefault="008B149D" w:rsidP="008B149D">
      <w:pPr>
        <w:spacing w:after="0" w:line="240" w:lineRule="auto"/>
        <w:jc w:val="both"/>
        <w:rPr>
          <w:rFonts w:ascii="Times New Roman" w:eastAsia="Arial" w:hAnsi="Times New Roman"/>
          <w:sz w:val="26"/>
          <w:szCs w:val="26"/>
        </w:rPr>
      </w:pPr>
      <w:r>
        <w:rPr>
          <w:rFonts w:ascii="Times New Roman" w:eastAsia="Arial" w:hAnsi="Times New Roman"/>
          <w:sz w:val="26"/>
          <w:szCs w:val="26"/>
        </w:rPr>
        <w:t>“[W]e now hold that the government must prove only a minimal nexus with interstate commerce in a § 1028</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prosecution to satisfy the “in or affects interstate or foreign commerce” requirement of § 1028</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(A). The defendant needs to have had only the intent to accomplish acts, which, if successful, would have affected interstate or foreign commerce. The government, however, is not required to prove that the defendant had knowledge of the interstate commerce nexus when he committed an act in violation of § 1028</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w:t>
      </w:r>
    </w:p>
    <w:p w:rsidR="008B149D" w:rsidRDefault="008B149D" w:rsidP="008B149D">
      <w:pPr>
        <w:spacing w:after="0" w:line="240" w:lineRule="auto"/>
        <w:jc w:val="both"/>
        <w:rPr>
          <w:rFonts w:ascii="Times New Roman" w:eastAsia="Arial" w:hAnsi="Times New Roman"/>
          <w:sz w:val="26"/>
          <w:szCs w:val="26"/>
        </w:rPr>
      </w:pPr>
    </w:p>
    <w:p w:rsidR="008B149D" w:rsidRDefault="008B149D" w:rsidP="008B149D">
      <w:pPr>
        <w:spacing w:after="0" w:line="240" w:lineRule="auto"/>
        <w:jc w:val="both"/>
        <w:rPr>
          <w:rFonts w:ascii="Times New Roman" w:eastAsia="Arial" w:hAnsi="Times New Roman"/>
          <w:sz w:val="26"/>
          <w:szCs w:val="26"/>
        </w:rPr>
      </w:pPr>
      <w:r>
        <w:rPr>
          <w:rFonts w:ascii="Times New Roman" w:eastAsia="Arial" w:hAnsi="Times New Roman"/>
          <w:sz w:val="26"/>
          <w:szCs w:val="26"/>
        </w:rPr>
        <w:t>In a 2008 decision involving § 1028</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the Eleventh Circuit held that, under </w:t>
      </w:r>
      <w:r w:rsidRPr="00856654">
        <w:rPr>
          <w:rFonts w:ascii="Times New Roman" w:eastAsia="Arial" w:hAnsi="Times New Roman"/>
          <w:i/>
          <w:sz w:val="26"/>
          <w:szCs w:val="26"/>
        </w:rPr>
        <w:t>Klopf</w:t>
      </w:r>
      <w:r>
        <w:rPr>
          <w:rFonts w:ascii="Times New Roman" w:eastAsia="Arial" w:hAnsi="Times New Roman"/>
          <w:sz w:val="26"/>
          <w:szCs w:val="26"/>
        </w:rPr>
        <w:t xml:space="preserve">, the requisite interstate commerce nexus was satisfied when the defendant fraudulently obtained a Florida commercial driver’s license, even if he only intended to (and did) drive on roads within the state. In rejecting the defendant’s argument that “if driving on public roads satisfies the minimal interstate nexus requirement, all local crimes would be federalized,” the Court of Appeals held that the facts showed the defendant “clearly intended to operate a commercial vehicle, and operating a commercial vehicle illegally, even if the vehicle never leaves Florida, sufficiently affects interstate commerce to satisfy the minimal nexus requirement.” </w:t>
      </w:r>
      <w:r w:rsidRPr="00856654">
        <w:rPr>
          <w:rFonts w:ascii="Times New Roman" w:eastAsia="Arial" w:hAnsi="Times New Roman"/>
          <w:i/>
          <w:sz w:val="26"/>
          <w:szCs w:val="26"/>
        </w:rPr>
        <w:t>United States v. Mendez</w:t>
      </w:r>
      <w:r>
        <w:rPr>
          <w:rFonts w:ascii="Times New Roman" w:eastAsia="Arial" w:hAnsi="Times New Roman"/>
          <w:sz w:val="26"/>
          <w:szCs w:val="26"/>
        </w:rPr>
        <w:t>, 528 F.3d 811, 817 (11</w:t>
      </w:r>
      <w:r w:rsidRPr="0087293D">
        <w:rPr>
          <w:rFonts w:ascii="Times New Roman" w:eastAsia="Arial" w:hAnsi="Times New Roman"/>
          <w:sz w:val="26"/>
          <w:szCs w:val="26"/>
          <w:vertAlign w:val="superscript"/>
        </w:rPr>
        <w:t>th</w:t>
      </w:r>
      <w:r>
        <w:rPr>
          <w:rFonts w:ascii="Times New Roman" w:eastAsia="Arial" w:hAnsi="Times New Roman"/>
          <w:sz w:val="26"/>
          <w:szCs w:val="26"/>
        </w:rPr>
        <w:t xml:space="preserve"> Cir. 2008).</w:t>
      </w:r>
    </w:p>
    <w:p w:rsidR="008B149D" w:rsidRDefault="008B149D" w:rsidP="008B149D">
      <w:pPr>
        <w:spacing w:after="0" w:line="240" w:lineRule="auto"/>
        <w:jc w:val="both"/>
        <w:rPr>
          <w:rFonts w:ascii="Times New Roman" w:eastAsia="Arial" w:hAnsi="Times New Roman"/>
          <w:sz w:val="26"/>
          <w:szCs w:val="26"/>
        </w:rPr>
      </w:pPr>
    </w:p>
    <w:p w:rsidR="00725167" w:rsidRPr="008B149D" w:rsidRDefault="008B149D" w:rsidP="008B149D">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If the indictment alleges one of the sentencing enhancing circumstances listed in § 2326 (telemarketing, victimizing 10 or more persons over age 55, or targeting persons over age 55), that factor should be stated as an additional element under the principle of </w:t>
      </w:r>
      <w:r w:rsidRPr="00856654">
        <w:rPr>
          <w:rFonts w:ascii="Times New Roman" w:eastAsia="Arial" w:hAnsi="Times New Roman"/>
          <w:i/>
          <w:sz w:val="26"/>
          <w:szCs w:val="26"/>
        </w:rPr>
        <w:t>Apprendi</w:t>
      </w:r>
      <w:r>
        <w:rPr>
          <w:rFonts w:ascii="Times New Roman" w:eastAsia="Arial" w:hAnsi="Times New Roman"/>
          <w:sz w:val="26"/>
          <w:szCs w:val="26"/>
        </w:rPr>
        <w:t xml:space="preserve"> and consideration should be given to a lesser included offense instruction, Special Instruction 10.</w:t>
      </w:r>
      <w:bookmarkEnd w:id="0"/>
    </w:p>
    <w:sectPr w:rsidR="00725167" w:rsidRPr="008B14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CFA" w:rsidRDefault="00B62CFA" w:rsidP="00B62CFA">
      <w:pPr>
        <w:spacing w:after="0" w:line="240" w:lineRule="auto"/>
      </w:pPr>
      <w:r>
        <w:separator/>
      </w:r>
    </w:p>
  </w:endnote>
  <w:endnote w:type="continuationSeparator" w:id="0">
    <w:p w:rsidR="00B62CFA" w:rsidRDefault="00B62CFA" w:rsidP="00B62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CFA" w:rsidRDefault="00B62CFA" w:rsidP="00B62CFA">
      <w:pPr>
        <w:spacing w:after="0" w:line="240" w:lineRule="auto"/>
      </w:pPr>
      <w:r>
        <w:separator/>
      </w:r>
    </w:p>
  </w:footnote>
  <w:footnote w:type="continuationSeparator" w:id="0">
    <w:p w:rsidR="00B62CFA" w:rsidRDefault="00B62CFA" w:rsidP="00B62C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5B53"/>
    <w:rsid w:val="002329BF"/>
    <w:rsid w:val="00233997"/>
    <w:rsid w:val="00236275"/>
    <w:rsid w:val="00245EF2"/>
    <w:rsid w:val="002604B9"/>
    <w:rsid w:val="002D2202"/>
    <w:rsid w:val="003067A0"/>
    <w:rsid w:val="00314335"/>
    <w:rsid w:val="00372806"/>
    <w:rsid w:val="003A75E9"/>
    <w:rsid w:val="003B0729"/>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725167"/>
    <w:rsid w:val="00780FDD"/>
    <w:rsid w:val="00783A2A"/>
    <w:rsid w:val="007C1855"/>
    <w:rsid w:val="007C4B9C"/>
    <w:rsid w:val="0080418B"/>
    <w:rsid w:val="00804614"/>
    <w:rsid w:val="0081575C"/>
    <w:rsid w:val="00856654"/>
    <w:rsid w:val="008A442C"/>
    <w:rsid w:val="008B149D"/>
    <w:rsid w:val="008B4118"/>
    <w:rsid w:val="008C025F"/>
    <w:rsid w:val="008D4579"/>
    <w:rsid w:val="008D77A9"/>
    <w:rsid w:val="008E0F69"/>
    <w:rsid w:val="008E221D"/>
    <w:rsid w:val="008E4BA2"/>
    <w:rsid w:val="008E7C9B"/>
    <w:rsid w:val="009458BA"/>
    <w:rsid w:val="009745AC"/>
    <w:rsid w:val="009F5DAD"/>
    <w:rsid w:val="00A355FD"/>
    <w:rsid w:val="00A66EA6"/>
    <w:rsid w:val="00A746F3"/>
    <w:rsid w:val="00AA01A6"/>
    <w:rsid w:val="00AA4174"/>
    <w:rsid w:val="00AC24E2"/>
    <w:rsid w:val="00AE0F43"/>
    <w:rsid w:val="00AE20D4"/>
    <w:rsid w:val="00AF2C77"/>
    <w:rsid w:val="00B111CD"/>
    <w:rsid w:val="00B11304"/>
    <w:rsid w:val="00B62CFA"/>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B62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CFA"/>
  </w:style>
  <w:style w:type="paragraph" w:styleId="Footer">
    <w:name w:val="footer"/>
    <w:basedOn w:val="Normal"/>
    <w:link w:val="FooterChar"/>
    <w:uiPriority w:val="99"/>
    <w:unhideWhenUsed/>
    <w:rsid w:val="00B62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C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B62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CFA"/>
  </w:style>
  <w:style w:type="paragraph" w:styleId="Footer">
    <w:name w:val="footer"/>
    <w:basedOn w:val="Normal"/>
    <w:link w:val="FooterChar"/>
    <w:uiPriority w:val="99"/>
    <w:unhideWhenUsed/>
    <w:rsid w:val="00B62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2014-03-31T22:55:00Z</dcterms:created>
  <dcterms:modified xsi:type="dcterms:W3CDTF">2014-06-17T23:19:00Z</dcterms:modified>
</cp:coreProperties>
</file>