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12729" w14:textId="77777777" w:rsidR="00AF2D1D" w:rsidRPr="004C61AF" w:rsidRDefault="00AF2D1D" w:rsidP="00AF2D1D">
      <w:pPr>
        <w:spacing w:after="0" w:line="480" w:lineRule="auto"/>
        <w:rPr>
          <w:rFonts w:ascii="Times New Roman" w:hAnsi="Times New Roman" w:cs="Times New Roman"/>
          <w:b/>
          <w:bCs/>
          <w:sz w:val="26"/>
          <w:szCs w:val="26"/>
          <w:u w:val="single"/>
        </w:rPr>
      </w:pPr>
      <w:r w:rsidRPr="004C61AF">
        <w:rPr>
          <w:rFonts w:ascii="Times New Roman" w:hAnsi="Times New Roman" w:cs="Times New Roman"/>
          <w:b/>
          <w:bCs/>
          <w:sz w:val="26"/>
          <w:szCs w:val="26"/>
          <w:u w:val="single"/>
        </w:rPr>
        <w:t>ANNOTATIONS AND COMMENTS</w:t>
      </w:r>
    </w:p>
    <w:p w14:paraId="63B83C77" w14:textId="77777777" w:rsidR="00AF2D1D" w:rsidRPr="004C61AF" w:rsidRDefault="00AF2D1D" w:rsidP="00AF2D1D">
      <w:pPr>
        <w:spacing w:after="200" w:line="240" w:lineRule="auto"/>
        <w:jc w:val="both"/>
        <w:rPr>
          <w:rFonts w:ascii="Times New Roman" w:hAnsi="Times New Roman" w:cs="Times New Roman"/>
          <w:bCs/>
          <w:sz w:val="26"/>
          <w:szCs w:val="26"/>
        </w:rPr>
      </w:pPr>
      <w:r w:rsidRPr="004C61AF">
        <w:rPr>
          <w:rFonts w:ascii="Times New Roman" w:hAnsi="Times New Roman" w:cs="Times New Roman"/>
          <w:bCs/>
          <w:sz w:val="26"/>
          <w:szCs w:val="26"/>
        </w:rPr>
        <w:t>18 U.S.C. § 1028A(a)(1) provides:</w:t>
      </w:r>
    </w:p>
    <w:p w14:paraId="2DF482A4" w14:textId="77777777" w:rsidR="00AF2D1D" w:rsidRPr="004C61AF" w:rsidRDefault="00AF2D1D" w:rsidP="00AF2D1D">
      <w:pPr>
        <w:pStyle w:val="ListParagraph"/>
        <w:numPr>
          <w:ilvl w:val="0"/>
          <w:numId w:val="1"/>
        </w:numPr>
        <w:spacing w:after="200" w:line="240" w:lineRule="auto"/>
        <w:ind w:left="1080"/>
        <w:contextualSpacing w:val="0"/>
        <w:jc w:val="both"/>
        <w:rPr>
          <w:rFonts w:ascii="Times New Roman" w:hAnsi="Times New Roman" w:cs="Times New Roman"/>
          <w:bCs/>
          <w:sz w:val="26"/>
          <w:szCs w:val="26"/>
        </w:rPr>
      </w:pPr>
      <w:r w:rsidRPr="004C61AF">
        <w:rPr>
          <w:rFonts w:ascii="Times New Roman" w:hAnsi="Times New Roman" w:cs="Times New Roman"/>
          <w:bCs/>
          <w:sz w:val="26"/>
          <w:szCs w:val="26"/>
        </w:rPr>
        <w:t>Offenses. - -</w:t>
      </w:r>
    </w:p>
    <w:p w14:paraId="18448627" w14:textId="77777777" w:rsidR="00AF2D1D" w:rsidRPr="00874E89" w:rsidRDefault="00AF2D1D" w:rsidP="00AF2D1D">
      <w:pPr>
        <w:pStyle w:val="ListParagraph"/>
        <w:numPr>
          <w:ilvl w:val="0"/>
          <w:numId w:val="2"/>
        </w:numPr>
        <w:spacing w:after="200" w:line="240" w:lineRule="auto"/>
        <w:ind w:right="720"/>
        <w:jc w:val="both"/>
        <w:rPr>
          <w:rFonts w:ascii="Times New Roman" w:hAnsi="Times New Roman" w:cs="Times New Roman"/>
          <w:bCs/>
          <w:sz w:val="26"/>
          <w:szCs w:val="26"/>
        </w:rPr>
      </w:pPr>
      <w:r w:rsidRPr="004C61AF">
        <w:rPr>
          <w:rFonts w:ascii="Times New Roman" w:hAnsi="Times New Roman" w:cs="Times New Roman"/>
          <w:bCs/>
          <w:sz w:val="26"/>
          <w:szCs w:val="26"/>
        </w:rPr>
        <w:t xml:space="preserve">In general. - - Whoever, during and in relation to any felony enumerated in subsection (c), knowingly transfers, possesses, or uses, a means of identification of another person shall, in addition to the punishment provided for such felony, be sentenced to a term of imprisonment of 2 years.  </w:t>
      </w:r>
    </w:p>
    <w:p w14:paraId="17DB3EF7" w14:textId="77777777" w:rsidR="00AF2D1D" w:rsidRPr="004C61AF" w:rsidRDefault="00AF2D1D" w:rsidP="00AF2D1D">
      <w:pPr>
        <w:spacing w:after="200" w:line="240" w:lineRule="auto"/>
        <w:ind w:firstLine="720"/>
        <w:jc w:val="both"/>
        <w:rPr>
          <w:rFonts w:ascii="Times New Roman" w:hAnsi="Times New Roman" w:cs="Times New Roman"/>
          <w:sz w:val="26"/>
          <w:szCs w:val="26"/>
        </w:rPr>
      </w:pPr>
      <w:r w:rsidRPr="004C61AF">
        <w:rPr>
          <w:rFonts w:ascii="Times New Roman" w:hAnsi="Times New Roman" w:cs="Times New Roman"/>
          <w:sz w:val="26"/>
          <w:szCs w:val="26"/>
        </w:rPr>
        <w:t xml:space="preserve">The definitions of “means of identification” and “identification document” are taken from 18 U.S.C. § 1028(d). The Committee has not included “telecommunication identifying information or access drive” as a “means of identification,” </w:t>
      </w:r>
      <w:r w:rsidRPr="004C61AF">
        <w:rPr>
          <w:rFonts w:ascii="Times New Roman" w:hAnsi="Times New Roman" w:cs="Times New Roman"/>
          <w:i/>
          <w:iCs/>
          <w:sz w:val="26"/>
          <w:szCs w:val="26"/>
        </w:rPr>
        <w:t xml:space="preserve">see id. </w:t>
      </w:r>
      <w:r w:rsidRPr="004C61AF">
        <w:rPr>
          <w:rFonts w:ascii="Times New Roman" w:hAnsi="Times New Roman" w:cs="Times New Roman"/>
          <w:sz w:val="26"/>
          <w:szCs w:val="26"/>
        </w:rPr>
        <w:t xml:space="preserve">§ 1028(d)(7)(D), because it is unlikely to occur often and otherwise creates confusion in the pattern instruction. </w:t>
      </w:r>
    </w:p>
    <w:p w14:paraId="510B576E" w14:textId="77777777" w:rsidR="00AF2D1D" w:rsidRPr="004C61AF" w:rsidRDefault="00AF2D1D" w:rsidP="00AF2D1D">
      <w:pPr>
        <w:spacing w:after="200" w:line="240" w:lineRule="auto"/>
        <w:ind w:firstLine="720"/>
        <w:jc w:val="both"/>
        <w:rPr>
          <w:rFonts w:ascii="Times New Roman" w:hAnsi="Times New Roman" w:cs="Times New Roman"/>
          <w:sz w:val="26"/>
          <w:szCs w:val="26"/>
        </w:rPr>
      </w:pPr>
      <w:r w:rsidRPr="004C61AF">
        <w:rPr>
          <w:rFonts w:ascii="Times New Roman" w:hAnsi="Times New Roman" w:cs="Times New Roman"/>
          <w:sz w:val="26"/>
          <w:szCs w:val="26"/>
        </w:rPr>
        <w:t xml:space="preserve">In </w:t>
      </w:r>
      <w:r w:rsidRPr="004C61AF">
        <w:rPr>
          <w:rFonts w:ascii="Times New Roman" w:hAnsi="Times New Roman" w:cs="Times New Roman"/>
          <w:i/>
          <w:iCs/>
          <w:sz w:val="26"/>
          <w:szCs w:val="26"/>
        </w:rPr>
        <w:t xml:space="preserve">United States v. </w:t>
      </w:r>
      <w:proofErr w:type="spellStart"/>
      <w:r w:rsidRPr="004C61AF">
        <w:rPr>
          <w:rFonts w:ascii="Times New Roman" w:hAnsi="Times New Roman" w:cs="Times New Roman"/>
          <w:i/>
          <w:iCs/>
          <w:sz w:val="26"/>
          <w:szCs w:val="26"/>
        </w:rPr>
        <w:t>Zitron</w:t>
      </w:r>
      <w:proofErr w:type="spellEnd"/>
      <w:r w:rsidRPr="004C61AF">
        <w:rPr>
          <w:rFonts w:ascii="Times New Roman" w:hAnsi="Times New Roman" w:cs="Times New Roman"/>
          <w:sz w:val="26"/>
          <w:szCs w:val="26"/>
        </w:rPr>
        <w:t xml:space="preserve">, 810 F.3d 1253, 1260 (11th Cir. 2016) (per </w:t>
      </w:r>
      <w:proofErr w:type="spellStart"/>
      <w:r w:rsidRPr="004C61AF">
        <w:rPr>
          <w:rFonts w:ascii="Times New Roman" w:hAnsi="Times New Roman" w:cs="Times New Roman"/>
          <w:sz w:val="26"/>
          <w:szCs w:val="26"/>
        </w:rPr>
        <w:t>curiam</w:t>
      </w:r>
      <w:proofErr w:type="spellEnd"/>
      <w:r w:rsidRPr="004C61AF">
        <w:rPr>
          <w:rFonts w:ascii="Times New Roman" w:hAnsi="Times New Roman" w:cs="Times New Roman"/>
          <w:sz w:val="26"/>
          <w:szCs w:val="26"/>
        </w:rPr>
        <w:t xml:space="preserve">), the Eleventh Circuit found that the defendant used the victim’s identity “without lawful authority” in two ways: (1) the defendant did not have permission to use the victim’s identity, and (2) the defendant used the victim’s means of identification for an unlawful purpose. </w:t>
      </w:r>
    </w:p>
    <w:p w14:paraId="3B25FEAA" w14:textId="77777777" w:rsidR="00AF2D1D" w:rsidRPr="004C61AF" w:rsidRDefault="00AF2D1D" w:rsidP="00AF2D1D">
      <w:pPr>
        <w:spacing w:after="200" w:line="240" w:lineRule="auto"/>
        <w:ind w:firstLine="720"/>
        <w:jc w:val="both"/>
        <w:rPr>
          <w:rFonts w:ascii="Times New Roman" w:hAnsi="Times New Roman" w:cs="Times New Roman"/>
          <w:sz w:val="26"/>
          <w:szCs w:val="26"/>
        </w:rPr>
      </w:pPr>
      <w:r w:rsidRPr="004C61AF">
        <w:rPr>
          <w:rFonts w:ascii="Times New Roman" w:hAnsi="Times New Roman" w:cs="Times New Roman"/>
          <w:sz w:val="26"/>
          <w:szCs w:val="26"/>
        </w:rPr>
        <w:t xml:space="preserve">The Supreme Court has clarified the elements of an offense under § 1028A(a)(1) and held that it “requires the Government to show that the defendant </w:t>
      </w:r>
      <w:r w:rsidRPr="004C61AF">
        <w:rPr>
          <w:rFonts w:ascii="Times New Roman" w:hAnsi="Times New Roman" w:cs="Times New Roman"/>
          <w:i/>
          <w:iCs/>
          <w:sz w:val="26"/>
          <w:szCs w:val="26"/>
        </w:rPr>
        <w:t>knew</w:t>
      </w:r>
      <w:r w:rsidRPr="004C61AF">
        <w:rPr>
          <w:rFonts w:ascii="Times New Roman" w:hAnsi="Times New Roman" w:cs="Times New Roman"/>
          <w:sz w:val="26"/>
          <w:szCs w:val="26"/>
        </w:rPr>
        <w:t xml:space="preserve"> that the ‘means of identification’ he or she unlawfully transferred, possessed, or used, in fact, belonged to ‘another person.’” </w:t>
      </w:r>
      <w:r w:rsidRPr="004C61AF">
        <w:rPr>
          <w:rFonts w:ascii="Times New Roman" w:hAnsi="Times New Roman" w:cs="Times New Roman"/>
          <w:i/>
          <w:iCs/>
          <w:sz w:val="26"/>
          <w:szCs w:val="26"/>
        </w:rPr>
        <w:t>Flores-Figueroa v. United States</w:t>
      </w:r>
      <w:r w:rsidRPr="004C61AF">
        <w:rPr>
          <w:rFonts w:ascii="Times New Roman" w:hAnsi="Times New Roman" w:cs="Times New Roman"/>
          <w:sz w:val="26"/>
          <w:szCs w:val="26"/>
        </w:rPr>
        <w:t xml:space="preserve">, 556 U.S. 646, 657 (2009) (emphasis in original). This part of the holding is contrary to </w:t>
      </w:r>
      <w:r w:rsidRPr="004C61AF">
        <w:rPr>
          <w:rFonts w:ascii="Times New Roman" w:hAnsi="Times New Roman" w:cs="Times New Roman"/>
          <w:i/>
          <w:iCs/>
          <w:sz w:val="26"/>
          <w:szCs w:val="26"/>
        </w:rPr>
        <w:t>United States v. Hurtado</w:t>
      </w:r>
      <w:r w:rsidRPr="004C61AF">
        <w:rPr>
          <w:rFonts w:ascii="Times New Roman" w:hAnsi="Times New Roman" w:cs="Times New Roman"/>
          <w:sz w:val="26"/>
          <w:szCs w:val="26"/>
        </w:rPr>
        <w:t xml:space="preserve">, 508 F.3d 603 (11th Cir. 2007) (per </w:t>
      </w:r>
      <w:proofErr w:type="spellStart"/>
      <w:r w:rsidRPr="004C61AF">
        <w:rPr>
          <w:rFonts w:ascii="Times New Roman" w:hAnsi="Times New Roman" w:cs="Times New Roman"/>
          <w:sz w:val="26"/>
          <w:szCs w:val="26"/>
        </w:rPr>
        <w:t>curiam</w:t>
      </w:r>
      <w:proofErr w:type="spellEnd"/>
      <w:r w:rsidRPr="004C61AF">
        <w:rPr>
          <w:rFonts w:ascii="Times New Roman" w:hAnsi="Times New Roman" w:cs="Times New Roman"/>
          <w:sz w:val="26"/>
          <w:szCs w:val="26"/>
        </w:rPr>
        <w:t xml:space="preserve">), in which the Eleventh Circuit held that the Government was not required to show that the defendant used identification documents that he knew had </w:t>
      </w:r>
      <w:proofErr w:type="gramStart"/>
      <w:r w:rsidRPr="004C61AF">
        <w:rPr>
          <w:rFonts w:ascii="Times New Roman" w:hAnsi="Times New Roman" w:cs="Times New Roman"/>
          <w:sz w:val="26"/>
          <w:szCs w:val="26"/>
        </w:rPr>
        <w:t>actually been</w:t>
      </w:r>
      <w:proofErr w:type="gramEnd"/>
      <w:r w:rsidRPr="004C61AF">
        <w:rPr>
          <w:rFonts w:ascii="Times New Roman" w:hAnsi="Times New Roman" w:cs="Times New Roman"/>
          <w:sz w:val="26"/>
          <w:szCs w:val="26"/>
        </w:rPr>
        <w:t xml:space="preserve"> assigned to another individual, as opposed to a fictitious person. </w:t>
      </w:r>
    </w:p>
    <w:p w14:paraId="3BA78238" w14:textId="63095223" w:rsidR="00AF2D1D" w:rsidRPr="004C61AF" w:rsidRDefault="00AF2D1D" w:rsidP="00AF2D1D">
      <w:pPr>
        <w:spacing w:after="200" w:line="240" w:lineRule="auto"/>
        <w:ind w:firstLine="720"/>
        <w:jc w:val="both"/>
        <w:rPr>
          <w:rFonts w:ascii="Times New Roman" w:hAnsi="Times New Roman" w:cs="Times New Roman"/>
          <w:sz w:val="26"/>
          <w:szCs w:val="26"/>
        </w:rPr>
      </w:pPr>
      <w:r w:rsidRPr="004C61AF">
        <w:rPr>
          <w:rFonts w:ascii="Times New Roman" w:hAnsi="Times New Roman" w:cs="Times New Roman"/>
          <w:i/>
          <w:iCs/>
          <w:sz w:val="26"/>
          <w:szCs w:val="26"/>
        </w:rPr>
        <w:t>Hurtado</w:t>
      </w:r>
      <w:r w:rsidRPr="004C61AF">
        <w:rPr>
          <w:rFonts w:ascii="Times New Roman" w:hAnsi="Times New Roman" w:cs="Times New Roman"/>
          <w:sz w:val="26"/>
          <w:szCs w:val="26"/>
        </w:rPr>
        <w:t xml:space="preserve">’s holding that § 1028(A(a)(1) does not require the Government to prove that the defendant obtained another person’s identification documents by “stealing,” </w:t>
      </w:r>
      <w:r w:rsidRPr="004C61AF">
        <w:rPr>
          <w:rFonts w:ascii="Times New Roman" w:hAnsi="Times New Roman" w:cs="Times New Roman"/>
          <w:i/>
          <w:iCs/>
          <w:sz w:val="26"/>
          <w:szCs w:val="26"/>
        </w:rPr>
        <w:t xml:space="preserve">see id. </w:t>
      </w:r>
      <w:r w:rsidRPr="004C61AF">
        <w:rPr>
          <w:rFonts w:ascii="Times New Roman" w:hAnsi="Times New Roman" w:cs="Times New Roman"/>
          <w:sz w:val="26"/>
          <w:szCs w:val="26"/>
        </w:rPr>
        <w:t xml:space="preserve">at 608, has not been overruled. In other words, the phrase “without lawful authority” prohibits methods of obtaining another person’s identification beyond stealing. </w:t>
      </w:r>
      <w:r w:rsidRPr="004C61AF">
        <w:rPr>
          <w:rFonts w:ascii="Times New Roman" w:hAnsi="Times New Roman" w:cs="Times New Roman"/>
          <w:i/>
          <w:iCs/>
          <w:sz w:val="26"/>
          <w:szCs w:val="26"/>
        </w:rPr>
        <w:t>See ibid.</w:t>
      </w:r>
      <w:r w:rsidRPr="004C61AF">
        <w:rPr>
          <w:rFonts w:ascii="Times New Roman" w:hAnsi="Times New Roman" w:cs="Times New Roman"/>
          <w:sz w:val="26"/>
          <w:szCs w:val="26"/>
        </w:rPr>
        <w:t xml:space="preserve">; </w:t>
      </w:r>
      <w:r w:rsidRPr="004C61AF">
        <w:rPr>
          <w:rFonts w:ascii="Times New Roman" w:hAnsi="Times New Roman" w:cs="Times New Roman"/>
          <w:i/>
          <w:iCs/>
          <w:sz w:val="26"/>
          <w:szCs w:val="26"/>
        </w:rPr>
        <w:t>see also Flores Figueroa</w:t>
      </w:r>
      <w:r w:rsidRPr="004C61AF">
        <w:rPr>
          <w:rFonts w:ascii="Times New Roman" w:hAnsi="Times New Roman" w:cs="Times New Roman"/>
          <w:sz w:val="26"/>
          <w:szCs w:val="26"/>
        </w:rPr>
        <w:t>, 556 U.S. at 655 (noting that examples of identity theft identified in the legislative history of § 1028A include “dumpster diving,” “accessing information that was originally collected for an authorized purpose,” “hack[</w:t>
      </w:r>
      <w:proofErr w:type="spellStart"/>
      <w:r w:rsidRPr="004C61AF">
        <w:rPr>
          <w:rFonts w:ascii="Times New Roman" w:hAnsi="Times New Roman" w:cs="Times New Roman"/>
          <w:sz w:val="26"/>
          <w:szCs w:val="26"/>
        </w:rPr>
        <w:t>ing</w:t>
      </w:r>
      <w:proofErr w:type="spellEnd"/>
      <w:r w:rsidRPr="004C61AF">
        <w:rPr>
          <w:rFonts w:ascii="Times New Roman" w:hAnsi="Times New Roman" w:cs="Times New Roman"/>
          <w:sz w:val="26"/>
          <w:szCs w:val="26"/>
        </w:rPr>
        <w:t>] into computers,” and “steal[</w:t>
      </w:r>
      <w:proofErr w:type="spellStart"/>
      <w:r w:rsidRPr="004C61AF">
        <w:rPr>
          <w:rFonts w:ascii="Times New Roman" w:hAnsi="Times New Roman" w:cs="Times New Roman"/>
          <w:sz w:val="26"/>
          <w:szCs w:val="26"/>
        </w:rPr>
        <w:t>ing</w:t>
      </w:r>
      <w:proofErr w:type="spellEnd"/>
      <w:r w:rsidRPr="004C61AF">
        <w:rPr>
          <w:rFonts w:ascii="Times New Roman" w:hAnsi="Times New Roman" w:cs="Times New Roman"/>
          <w:sz w:val="26"/>
          <w:szCs w:val="26"/>
        </w:rPr>
        <w:t xml:space="preserve">] paperwork likely to contain personal information” (citing H. R. Rep. No. 108-528, at 4–5 (2004))). Accordingly, the elements of this offense (as originally set forth in </w:t>
      </w:r>
      <w:r w:rsidRPr="004C61AF">
        <w:rPr>
          <w:rFonts w:ascii="Times New Roman" w:hAnsi="Times New Roman" w:cs="Times New Roman"/>
          <w:i/>
          <w:iCs/>
          <w:sz w:val="26"/>
          <w:szCs w:val="26"/>
        </w:rPr>
        <w:t>Hurtado</w:t>
      </w:r>
      <w:r w:rsidRPr="004C61AF">
        <w:rPr>
          <w:rFonts w:ascii="Times New Roman" w:hAnsi="Times New Roman" w:cs="Times New Roman"/>
          <w:sz w:val="26"/>
          <w:szCs w:val="26"/>
        </w:rPr>
        <w:t xml:space="preserve">) have been modified and combined, as the Supreme Court requires. </w:t>
      </w:r>
      <w:r w:rsidRPr="004C61AF">
        <w:rPr>
          <w:rFonts w:ascii="Times New Roman" w:hAnsi="Times New Roman" w:cs="Times New Roman"/>
          <w:i/>
          <w:iCs/>
          <w:sz w:val="26"/>
          <w:szCs w:val="26"/>
        </w:rPr>
        <w:t>See also United States v. Gomez</w:t>
      </w:r>
      <w:r w:rsidRPr="004C61AF">
        <w:rPr>
          <w:rFonts w:ascii="Times New Roman" w:hAnsi="Times New Roman" w:cs="Times New Roman"/>
          <w:sz w:val="26"/>
          <w:szCs w:val="26"/>
        </w:rPr>
        <w:t xml:space="preserve">, 580 F.3d 1229 (11th Cir. 2009). </w:t>
      </w:r>
    </w:p>
    <w:p w14:paraId="243B7C9B" w14:textId="77777777" w:rsidR="00AF2D1D" w:rsidRPr="004C61AF" w:rsidRDefault="00AF2D1D" w:rsidP="00AF2D1D">
      <w:pPr>
        <w:spacing w:after="200" w:line="240" w:lineRule="auto"/>
        <w:ind w:firstLine="720"/>
        <w:jc w:val="both"/>
        <w:rPr>
          <w:rFonts w:ascii="Times New Roman" w:hAnsi="Times New Roman" w:cs="Times New Roman"/>
          <w:sz w:val="26"/>
          <w:szCs w:val="26"/>
          <w:shd w:val="clear" w:color="auto" w:fill="FFFFFF"/>
        </w:rPr>
      </w:pPr>
      <w:r w:rsidRPr="004C61AF">
        <w:rPr>
          <w:rFonts w:ascii="Times New Roman" w:hAnsi="Times New Roman" w:cs="Times New Roman"/>
          <w:sz w:val="26"/>
          <w:szCs w:val="26"/>
          <w:shd w:val="clear" w:color="auto" w:fill="FFFFFF"/>
        </w:rPr>
        <w:lastRenderedPageBreak/>
        <w:t xml:space="preserve">In </w:t>
      </w:r>
      <w:proofErr w:type="spellStart"/>
      <w:r w:rsidRPr="004C61AF">
        <w:rPr>
          <w:rFonts w:ascii="Times New Roman" w:hAnsi="Times New Roman" w:cs="Times New Roman"/>
          <w:i/>
          <w:iCs/>
          <w:sz w:val="26"/>
          <w:szCs w:val="26"/>
          <w:shd w:val="clear" w:color="auto" w:fill="FFFFFF"/>
        </w:rPr>
        <w:t>Dubin</w:t>
      </w:r>
      <w:proofErr w:type="spellEnd"/>
      <w:r w:rsidRPr="004C61AF">
        <w:rPr>
          <w:rFonts w:ascii="Times New Roman" w:hAnsi="Times New Roman" w:cs="Times New Roman"/>
          <w:i/>
          <w:iCs/>
          <w:sz w:val="26"/>
          <w:szCs w:val="26"/>
          <w:shd w:val="clear" w:color="auto" w:fill="FFFFFF"/>
        </w:rPr>
        <w:t xml:space="preserve"> v. United States</w:t>
      </w:r>
      <w:r w:rsidRPr="004C61AF">
        <w:rPr>
          <w:rFonts w:ascii="Times New Roman" w:hAnsi="Times New Roman" w:cs="Times New Roman"/>
          <w:sz w:val="26"/>
          <w:szCs w:val="26"/>
          <w:shd w:val="clear" w:color="auto" w:fill="FFFFFF"/>
        </w:rPr>
        <w:t xml:space="preserve">, 599 U.S. 110, 114–15, 131–32 (2023), the Supreme Court clarified the definition of “use” “in relation to” in section 1028A. </w:t>
      </w:r>
      <w:r w:rsidRPr="004C61AF">
        <w:rPr>
          <w:rFonts w:ascii="Times New Roman" w:hAnsi="Times New Roman" w:cs="Times New Roman"/>
          <w:sz w:val="26"/>
          <w:szCs w:val="26"/>
        </w:rPr>
        <w:t xml:space="preserve">The Court explained that “[a] defendant ‘uses’ another person’s means of identification ‘in relation to’ a predicate offense when </w:t>
      </w:r>
      <w:proofErr w:type="spellStart"/>
      <w:r w:rsidRPr="004C61AF">
        <w:rPr>
          <w:rFonts w:ascii="Times New Roman" w:hAnsi="Times New Roman" w:cs="Times New Roman"/>
          <w:sz w:val="26"/>
          <w:szCs w:val="26"/>
        </w:rPr>
        <w:t>th</w:t>
      </w:r>
      <w:proofErr w:type="spellEnd"/>
      <w:r w:rsidRPr="004C61AF">
        <w:rPr>
          <w:rFonts w:ascii="Times New Roman" w:hAnsi="Times New Roman" w:cs="Times New Roman"/>
          <w:sz w:val="26"/>
          <w:szCs w:val="26"/>
        </w:rPr>
        <w:t xml:space="preserve">[e] use is at the crux of what makes the conduct criminal” and emphasized that “being at the crux of the criminality requires more than a causal relationship, such as ‘facilitation’ of the offense or being a </w:t>
      </w:r>
      <w:proofErr w:type="spellStart"/>
      <w:r w:rsidRPr="004C61AF">
        <w:rPr>
          <w:rFonts w:ascii="Times New Roman" w:hAnsi="Times New Roman" w:cs="Times New Roman"/>
          <w:sz w:val="26"/>
          <w:szCs w:val="26"/>
        </w:rPr>
        <w:t>but</w:t>
      </w:r>
      <w:proofErr w:type="spellEnd"/>
      <w:r w:rsidRPr="004C61AF">
        <w:rPr>
          <w:rFonts w:ascii="Times New Roman" w:hAnsi="Times New Roman" w:cs="Times New Roman"/>
          <w:sz w:val="26"/>
          <w:szCs w:val="26"/>
        </w:rPr>
        <w:t xml:space="preserve">-for cause of its ‘success.’” </w:t>
      </w:r>
      <w:r w:rsidRPr="004C61AF">
        <w:rPr>
          <w:rFonts w:ascii="Times New Roman" w:hAnsi="Times New Roman" w:cs="Times New Roman"/>
          <w:i/>
          <w:iCs/>
          <w:sz w:val="26"/>
          <w:szCs w:val="26"/>
        </w:rPr>
        <w:t xml:space="preserve">Id. </w:t>
      </w:r>
      <w:r w:rsidRPr="004C61AF">
        <w:rPr>
          <w:rFonts w:ascii="Times New Roman" w:hAnsi="Times New Roman" w:cs="Times New Roman"/>
          <w:sz w:val="26"/>
          <w:szCs w:val="26"/>
        </w:rPr>
        <w:t>at 131 (alteration added; citation omitted).</w:t>
      </w:r>
      <w:r>
        <w:rPr>
          <w:rFonts w:ascii="Times New Roman" w:hAnsi="Times New Roman" w:cs="Times New Roman"/>
          <w:sz w:val="26"/>
          <w:szCs w:val="26"/>
        </w:rPr>
        <w:t xml:space="preserve"> </w:t>
      </w:r>
      <w:r w:rsidRPr="004C61AF">
        <w:rPr>
          <w:rFonts w:ascii="Times New Roman" w:hAnsi="Times New Roman" w:cs="Times New Roman"/>
          <w:sz w:val="26"/>
          <w:szCs w:val="26"/>
        </w:rPr>
        <w:t xml:space="preserve">The “means of identification specifically must be used in a manner that is fraudulent or deceptive.” </w:t>
      </w:r>
      <w:r w:rsidRPr="004C61AF">
        <w:rPr>
          <w:rFonts w:ascii="Times New Roman" w:hAnsi="Times New Roman" w:cs="Times New Roman"/>
          <w:i/>
          <w:iCs/>
          <w:sz w:val="26"/>
          <w:szCs w:val="26"/>
        </w:rPr>
        <w:t xml:space="preserve">Id. </w:t>
      </w:r>
      <w:r w:rsidRPr="004C61AF">
        <w:rPr>
          <w:rFonts w:ascii="Times New Roman" w:hAnsi="Times New Roman" w:cs="Times New Roman"/>
          <w:sz w:val="26"/>
          <w:szCs w:val="26"/>
        </w:rPr>
        <w:t>at 132. Thus, a defendant did not “use” a Medicaid reimbursement number “in relation to” healthcare fraud when he overstated the qualifications of the employee performing psychological testing, resulting in overbilling. The “use” of the means of identification was not fraudulent or deceptive in a manner going to identity and was not at the crux of what made the healthcare fraud criminal</w:t>
      </w:r>
      <w:r>
        <w:rPr>
          <w:rFonts w:ascii="Times New Roman" w:hAnsi="Times New Roman" w:cs="Times New Roman"/>
          <w:sz w:val="26"/>
          <w:szCs w:val="26"/>
        </w:rPr>
        <w:t>.</w:t>
      </w:r>
      <w:r w:rsidRPr="004C61AF">
        <w:rPr>
          <w:rFonts w:ascii="Times New Roman" w:hAnsi="Times New Roman" w:cs="Times New Roman"/>
          <w:sz w:val="26"/>
          <w:szCs w:val="26"/>
        </w:rPr>
        <w:t xml:space="preserve"> Instead, it was the overbilling that made the healthcare fraud criminal. </w:t>
      </w:r>
      <w:r w:rsidRPr="004C61AF">
        <w:rPr>
          <w:rFonts w:ascii="Times New Roman" w:hAnsi="Times New Roman" w:cs="Times New Roman"/>
          <w:i/>
          <w:iCs/>
          <w:sz w:val="26"/>
          <w:szCs w:val="26"/>
        </w:rPr>
        <w:t xml:space="preserve">See </w:t>
      </w:r>
      <w:r>
        <w:rPr>
          <w:rFonts w:ascii="Times New Roman" w:hAnsi="Times New Roman" w:cs="Times New Roman"/>
          <w:i/>
          <w:iCs/>
          <w:sz w:val="26"/>
          <w:szCs w:val="26"/>
        </w:rPr>
        <w:t>i</w:t>
      </w:r>
      <w:r>
        <w:rPr>
          <w:rFonts w:ascii="Times New Roman" w:hAnsi="Times New Roman" w:cs="Times New Roman"/>
          <w:i/>
          <w:iCs/>
          <w:sz w:val="26"/>
          <w:szCs w:val="26"/>
          <w:shd w:val="clear" w:color="auto" w:fill="FFFFFF"/>
        </w:rPr>
        <w:t xml:space="preserve">d. </w:t>
      </w:r>
      <w:r>
        <w:rPr>
          <w:rFonts w:ascii="Times New Roman" w:hAnsi="Times New Roman" w:cs="Times New Roman"/>
          <w:sz w:val="26"/>
          <w:szCs w:val="26"/>
          <w:shd w:val="clear" w:color="auto" w:fill="FFFFFF"/>
        </w:rPr>
        <w:t>at</w:t>
      </w:r>
      <w:r w:rsidRPr="004C61AF">
        <w:rPr>
          <w:rFonts w:ascii="Times New Roman" w:hAnsi="Times New Roman" w:cs="Times New Roman"/>
          <w:sz w:val="26"/>
          <w:szCs w:val="26"/>
          <w:shd w:val="clear" w:color="auto" w:fill="FFFFFF"/>
        </w:rPr>
        <w:t xml:space="preserve"> 114–15, 131–32.</w:t>
      </w:r>
    </w:p>
    <w:p w14:paraId="19280D1E" w14:textId="77A1064B" w:rsidR="00AF2D1D" w:rsidRPr="004C61AF" w:rsidRDefault="00AF2D1D" w:rsidP="00AF2D1D">
      <w:pPr>
        <w:spacing w:after="200" w:line="240" w:lineRule="auto"/>
        <w:ind w:firstLine="720"/>
        <w:jc w:val="both"/>
        <w:rPr>
          <w:rFonts w:ascii="Times New Roman" w:hAnsi="Times New Roman" w:cs="Times New Roman"/>
          <w:sz w:val="26"/>
          <w:szCs w:val="26"/>
        </w:rPr>
      </w:pPr>
      <w:r w:rsidRPr="004C61AF">
        <w:rPr>
          <w:rFonts w:ascii="Times New Roman" w:hAnsi="Times New Roman" w:cs="Times New Roman"/>
          <w:sz w:val="26"/>
          <w:szCs w:val="26"/>
          <w:shd w:val="clear" w:color="auto" w:fill="FFFFFF"/>
        </w:rPr>
        <w:t xml:space="preserve">In </w:t>
      </w:r>
      <w:r w:rsidRPr="004C61AF">
        <w:rPr>
          <w:rFonts w:ascii="Times New Roman" w:hAnsi="Times New Roman" w:cs="Times New Roman"/>
          <w:i/>
          <w:iCs/>
          <w:sz w:val="26"/>
          <w:szCs w:val="26"/>
          <w:shd w:val="clear" w:color="auto" w:fill="FFFFFF"/>
        </w:rPr>
        <w:t>United States v. Gladden</w:t>
      </w:r>
      <w:r w:rsidRPr="004C61AF">
        <w:rPr>
          <w:rFonts w:ascii="Times New Roman" w:hAnsi="Times New Roman" w:cs="Times New Roman"/>
          <w:sz w:val="26"/>
          <w:szCs w:val="26"/>
          <w:shd w:val="clear" w:color="auto" w:fill="FFFFFF"/>
        </w:rPr>
        <w:t xml:space="preserve">, 78 F.4th 1232, 1245 (11th Cir. 2023), the defendant forged identities and used those identities to refill prescriptions in their names, even though the victims were not aware of and did not receive any products. “Because the deception centered on the identity of the individual receiving the product, [defendant] committed identity theft.” </w:t>
      </w:r>
      <w:r w:rsidRPr="004C61AF">
        <w:rPr>
          <w:rFonts w:ascii="Times New Roman" w:hAnsi="Times New Roman" w:cs="Times New Roman"/>
          <w:i/>
          <w:iCs/>
          <w:sz w:val="26"/>
          <w:szCs w:val="26"/>
          <w:shd w:val="clear" w:color="auto" w:fill="FFFFFF"/>
        </w:rPr>
        <w:t xml:space="preserve">Id. </w:t>
      </w:r>
      <w:r w:rsidRPr="004C61AF">
        <w:rPr>
          <w:rFonts w:ascii="Times New Roman" w:hAnsi="Times New Roman" w:cs="Times New Roman"/>
          <w:sz w:val="26"/>
          <w:szCs w:val="26"/>
          <w:shd w:val="clear" w:color="auto" w:fill="FFFFFF"/>
        </w:rPr>
        <w:t xml:space="preserve">(alteration added). The Eleventh Circuit explained: “Section 1028A’s reach is thus limited to situations where ‘a genuine </w:t>
      </w:r>
      <w:proofErr w:type="gramStart"/>
      <w:r w:rsidRPr="004C61AF">
        <w:rPr>
          <w:rFonts w:ascii="Times New Roman" w:hAnsi="Times New Roman" w:cs="Times New Roman"/>
          <w:sz w:val="26"/>
          <w:szCs w:val="26"/>
          <w:shd w:val="clear" w:color="auto" w:fill="FFFFFF"/>
        </w:rPr>
        <w:t>nexus’</w:t>
      </w:r>
      <w:proofErr w:type="gramEnd"/>
      <w:r w:rsidRPr="004C61AF">
        <w:rPr>
          <w:rFonts w:ascii="Times New Roman" w:hAnsi="Times New Roman" w:cs="Times New Roman"/>
          <w:sz w:val="26"/>
          <w:szCs w:val="26"/>
          <w:shd w:val="clear" w:color="auto" w:fill="FFFFFF"/>
        </w:rPr>
        <w:t xml:space="preserve"> exists between the use of a means of identification and the predicate offense.” </w:t>
      </w:r>
      <w:r w:rsidRPr="004C61AF">
        <w:rPr>
          <w:rFonts w:ascii="Times New Roman" w:hAnsi="Times New Roman" w:cs="Times New Roman"/>
          <w:i/>
          <w:iCs/>
          <w:sz w:val="26"/>
          <w:szCs w:val="26"/>
          <w:shd w:val="clear" w:color="auto" w:fill="FFFFFF"/>
        </w:rPr>
        <w:t>Id.</w:t>
      </w:r>
      <w:r w:rsidRPr="004C61AF">
        <w:rPr>
          <w:rFonts w:ascii="Times New Roman" w:hAnsi="Times New Roman" w:cs="Times New Roman"/>
          <w:sz w:val="26"/>
          <w:szCs w:val="26"/>
          <w:shd w:val="clear" w:color="auto" w:fill="FFFFFF"/>
        </w:rPr>
        <w:t xml:space="preserve"> at 1244 (quoting </w:t>
      </w:r>
      <w:proofErr w:type="spellStart"/>
      <w:r w:rsidRPr="004C61AF">
        <w:rPr>
          <w:rFonts w:ascii="Times New Roman" w:hAnsi="Times New Roman" w:cs="Times New Roman"/>
          <w:i/>
          <w:iCs/>
          <w:sz w:val="26"/>
          <w:szCs w:val="26"/>
          <w:shd w:val="clear" w:color="auto" w:fill="FFFFFF"/>
        </w:rPr>
        <w:t>Dubin</w:t>
      </w:r>
      <w:proofErr w:type="spellEnd"/>
      <w:r w:rsidRPr="004C61AF">
        <w:rPr>
          <w:rFonts w:ascii="Times New Roman" w:hAnsi="Times New Roman" w:cs="Times New Roman"/>
          <w:sz w:val="26"/>
          <w:szCs w:val="26"/>
          <w:shd w:val="clear" w:color="auto" w:fill="FFFFFF"/>
        </w:rPr>
        <w:t>, 599 U.S. at 1565).</w:t>
      </w:r>
      <w:r>
        <w:rPr>
          <w:rFonts w:ascii="Times New Roman" w:hAnsi="Times New Roman" w:cs="Times New Roman"/>
          <w:sz w:val="26"/>
          <w:szCs w:val="26"/>
          <w:shd w:val="clear" w:color="auto" w:fill="FFFFFF"/>
        </w:rPr>
        <w:t xml:space="preserve"> </w:t>
      </w:r>
      <w:r w:rsidRPr="004C61AF">
        <w:rPr>
          <w:rFonts w:ascii="Times New Roman" w:hAnsi="Times New Roman" w:cs="Times New Roman"/>
          <w:sz w:val="26"/>
          <w:szCs w:val="26"/>
          <w:shd w:val="clear" w:color="auto" w:fill="FFFFFF"/>
        </w:rPr>
        <w:t xml:space="preserve">“[T]he means of identification specifically [must be] a key mover in the criminality.” </w:t>
      </w:r>
      <w:r w:rsidRPr="004C61AF">
        <w:rPr>
          <w:rFonts w:ascii="Times New Roman" w:hAnsi="Times New Roman" w:cs="Times New Roman"/>
          <w:i/>
          <w:iCs/>
          <w:sz w:val="26"/>
          <w:szCs w:val="26"/>
          <w:shd w:val="clear" w:color="auto" w:fill="FFFFFF"/>
        </w:rPr>
        <w:t>I</w:t>
      </w:r>
      <w:r>
        <w:rPr>
          <w:rFonts w:ascii="Times New Roman" w:hAnsi="Times New Roman" w:cs="Times New Roman"/>
          <w:i/>
          <w:iCs/>
          <w:sz w:val="26"/>
          <w:szCs w:val="26"/>
          <w:shd w:val="clear" w:color="auto" w:fill="FFFFFF"/>
        </w:rPr>
        <w:t>bi</w:t>
      </w:r>
      <w:r w:rsidRPr="004C61AF">
        <w:rPr>
          <w:rFonts w:ascii="Times New Roman" w:hAnsi="Times New Roman" w:cs="Times New Roman"/>
          <w:i/>
          <w:iCs/>
          <w:sz w:val="26"/>
          <w:szCs w:val="26"/>
          <w:shd w:val="clear" w:color="auto" w:fill="FFFFFF"/>
        </w:rPr>
        <w:t xml:space="preserve">d. </w:t>
      </w:r>
      <w:r w:rsidRPr="004C61AF">
        <w:rPr>
          <w:rFonts w:ascii="Times New Roman" w:hAnsi="Times New Roman" w:cs="Times New Roman"/>
          <w:sz w:val="26"/>
          <w:szCs w:val="26"/>
          <w:shd w:val="clear" w:color="auto" w:fill="FFFFFF"/>
        </w:rPr>
        <w:t xml:space="preserve">(first alteration added; second alteration in original; quoting </w:t>
      </w:r>
      <w:proofErr w:type="spellStart"/>
      <w:r w:rsidRPr="004C61AF">
        <w:rPr>
          <w:rFonts w:ascii="Times New Roman" w:hAnsi="Times New Roman" w:cs="Times New Roman"/>
          <w:i/>
          <w:iCs/>
          <w:sz w:val="26"/>
          <w:szCs w:val="26"/>
          <w:shd w:val="clear" w:color="auto" w:fill="FFFFFF"/>
        </w:rPr>
        <w:t>Dubin</w:t>
      </w:r>
      <w:proofErr w:type="spellEnd"/>
      <w:r w:rsidRPr="004C61AF">
        <w:rPr>
          <w:rFonts w:ascii="Times New Roman" w:hAnsi="Times New Roman" w:cs="Times New Roman"/>
          <w:sz w:val="26"/>
          <w:szCs w:val="26"/>
          <w:shd w:val="clear" w:color="auto" w:fill="FFFFFF"/>
        </w:rPr>
        <w:t xml:space="preserve">, 599 U.S. at 1568).  </w:t>
      </w:r>
    </w:p>
    <w:p w14:paraId="308C0454" w14:textId="77777777" w:rsidR="00AF2D1D" w:rsidRPr="004C61AF" w:rsidRDefault="00AF2D1D" w:rsidP="00AF2D1D">
      <w:pPr>
        <w:spacing w:after="200" w:line="240" w:lineRule="auto"/>
        <w:ind w:firstLine="720"/>
        <w:jc w:val="both"/>
        <w:rPr>
          <w:rFonts w:ascii="Times New Roman" w:hAnsi="Times New Roman" w:cs="Times New Roman"/>
          <w:sz w:val="26"/>
          <w:szCs w:val="26"/>
        </w:rPr>
      </w:pPr>
      <w:r w:rsidRPr="004C61AF">
        <w:rPr>
          <w:rFonts w:ascii="Times New Roman" w:hAnsi="Times New Roman" w:cs="Times New Roman"/>
          <w:sz w:val="26"/>
          <w:szCs w:val="26"/>
        </w:rPr>
        <w:t xml:space="preserve">Additionally, the Supreme Court in </w:t>
      </w:r>
      <w:proofErr w:type="spellStart"/>
      <w:r w:rsidRPr="004C61AF">
        <w:rPr>
          <w:rFonts w:ascii="Times New Roman" w:hAnsi="Times New Roman" w:cs="Times New Roman"/>
          <w:sz w:val="26"/>
          <w:szCs w:val="26"/>
        </w:rPr>
        <w:t>Dubin</w:t>
      </w:r>
      <w:proofErr w:type="spellEnd"/>
      <w:r w:rsidRPr="004C61AF">
        <w:rPr>
          <w:rFonts w:ascii="Times New Roman" w:hAnsi="Times New Roman" w:cs="Times New Roman"/>
          <w:sz w:val="26"/>
          <w:szCs w:val="26"/>
        </w:rPr>
        <w:t xml:space="preserve">, 599 U.S. at 131–32, noted that, “with fraud and deceit crimes </w:t>
      </w:r>
      <w:proofErr w:type="gramStart"/>
      <w:r w:rsidRPr="004C61AF">
        <w:rPr>
          <w:rFonts w:ascii="Times New Roman" w:hAnsi="Times New Roman" w:cs="Times New Roman"/>
          <w:sz w:val="26"/>
          <w:szCs w:val="26"/>
        </w:rPr>
        <w:t>. . . ,</w:t>
      </w:r>
      <w:proofErr w:type="gramEnd"/>
      <w:r w:rsidRPr="004C61AF">
        <w:rPr>
          <w:rFonts w:ascii="Times New Roman" w:hAnsi="Times New Roman" w:cs="Times New Roman"/>
          <w:sz w:val="26"/>
          <w:szCs w:val="26"/>
        </w:rPr>
        <w:t xml:space="preserve"> the means of identification specifically must be used in a manner that is fraudulent and deceptive.”). The last bracketed sentence has been added to this Instruction for use in cases where the underlying crime involves fraud or deceit. </w:t>
      </w:r>
    </w:p>
    <w:sectPr w:rsidR="00AF2D1D" w:rsidRPr="004C61AF" w:rsidSect="00246397">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8F80D" w14:textId="77777777" w:rsidR="00AF2D1D" w:rsidRDefault="00AF2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B68E" w14:textId="77777777" w:rsidR="00AF2D1D" w:rsidRPr="00246397" w:rsidRDefault="00AF2D1D">
    <w:pPr>
      <w:pStyle w:val="Footer"/>
      <w:jc w:val="center"/>
      <w:rPr>
        <w:rFonts w:ascii="Times New Roman" w:hAnsi="Times New Roman" w:cs="Times New Roman"/>
        <w:sz w:val="24"/>
        <w:szCs w:val="24"/>
      </w:rPr>
    </w:pPr>
  </w:p>
  <w:p w14:paraId="203D1CBC" w14:textId="77777777" w:rsidR="00AF2D1D" w:rsidRDefault="00AF2D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6DD7" w14:textId="77777777" w:rsidR="00AF2D1D" w:rsidRDefault="00AF2D1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F8D7" w14:textId="77777777" w:rsidR="00AF2D1D" w:rsidRDefault="00AF2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3DF3" w14:textId="77777777" w:rsidR="00AF2D1D" w:rsidRDefault="00AF2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84F14" w14:textId="77777777" w:rsidR="00AF2D1D" w:rsidRDefault="00AF2D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5D2549"/>
    <w:multiLevelType w:val="hybridMultilevel"/>
    <w:tmpl w:val="D02CAC0C"/>
    <w:lvl w:ilvl="0" w:tplc="905EDF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6FA1F1D"/>
    <w:multiLevelType w:val="hybridMultilevel"/>
    <w:tmpl w:val="6B24C098"/>
    <w:lvl w:ilvl="0" w:tplc="8040BB70">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num w:numId="1" w16cid:durableId="1248808881">
    <w:abstractNumId w:val="1"/>
  </w:num>
  <w:num w:numId="2" w16cid:durableId="386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D1D"/>
    <w:rsid w:val="002046B3"/>
    <w:rsid w:val="002319B9"/>
    <w:rsid w:val="00993087"/>
    <w:rsid w:val="00AF2D1D"/>
    <w:rsid w:val="00CF4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C40F"/>
  <w15:chartTrackingRefBased/>
  <w15:docId w15:val="{159647EF-5C1A-4938-A224-2D65C1D7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D1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D1D"/>
    <w:pPr>
      <w:ind w:left="720"/>
      <w:contextualSpacing/>
    </w:pPr>
  </w:style>
  <w:style w:type="paragraph" w:styleId="Header">
    <w:name w:val="header"/>
    <w:basedOn w:val="Normal"/>
    <w:link w:val="HeaderChar"/>
    <w:uiPriority w:val="99"/>
    <w:unhideWhenUsed/>
    <w:rsid w:val="00AF2D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D1D"/>
    <w:rPr>
      <w:kern w:val="0"/>
      <w14:ligatures w14:val="none"/>
    </w:rPr>
  </w:style>
  <w:style w:type="paragraph" w:styleId="Footer">
    <w:name w:val="footer"/>
    <w:basedOn w:val="Normal"/>
    <w:link w:val="FooterChar"/>
    <w:uiPriority w:val="99"/>
    <w:unhideWhenUsed/>
    <w:rsid w:val="00AF2D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D1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754</Words>
  <Characters>4299</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1</cp:revision>
  <dcterms:created xsi:type="dcterms:W3CDTF">2026-03-26T15:33:00Z</dcterms:created>
  <dcterms:modified xsi:type="dcterms:W3CDTF">2026-03-26T15:37:00Z</dcterms:modified>
</cp:coreProperties>
</file>