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504" w:rsidRDefault="00EC4504" w:rsidP="00EC450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EC4504" w:rsidRDefault="00EC4504" w:rsidP="00EC450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EC4504" w:rsidRDefault="00EC4504" w:rsidP="00EC450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1029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EC4504" w:rsidRDefault="00EC4504" w:rsidP="00EC450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EC4504" w:rsidRDefault="00EC4504" w:rsidP="00EC4504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Whoever - -</w:t>
      </w:r>
    </w:p>
    <w:p w:rsidR="00EC4504" w:rsidRDefault="00EC4504" w:rsidP="00EC4504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EC4504" w:rsidRDefault="00EC4504" w:rsidP="00EC4504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knowingly and with intent to defraud produces, uses, or traffics in one or more counterfeit access devices [shall be guilty of an offense against the United States] if the offense affects interstate commerce or foreign commerce…</w:t>
      </w:r>
    </w:p>
    <w:p w:rsidR="00EC4504" w:rsidRDefault="00EC4504" w:rsidP="00EC450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EC4504" w:rsidRDefault="00EC4504" w:rsidP="00EC450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Up to twenty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(if the offense occurs after a conviction for another offense under this section) and applicable fine.</w:t>
      </w:r>
    </w:p>
    <w:p w:rsidR="00EC4504" w:rsidRDefault="00EC4504" w:rsidP="00EC450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EC4504" w:rsidRDefault="00EC4504" w:rsidP="00EC450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FF593E">
        <w:rPr>
          <w:rFonts w:ascii="Times New Roman" w:eastAsia="Arial" w:hAnsi="Times New Roman"/>
          <w:i/>
          <w:sz w:val="26"/>
          <w:szCs w:val="26"/>
        </w:rPr>
        <w:t>United States v. Sepulveda</w:t>
      </w:r>
      <w:r>
        <w:rPr>
          <w:rFonts w:ascii="Times New Roman" w:eastAsia="Arial" w:hAnsi="Times New Roman"/>
          <w:sz w:val="26"/>
          <w:szCs w:val="26"/>
        </w:rPr>
        <w:t>, 115 F.3d 882 (11</w:t>
      </w:r>
      <w:r w:rsidRPr="00087F27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1997) (un-programmed ESN-MIN combinations constitute access devices within the meaning of § 1029).</w:t>
      </w:r>
    </w:p>
    <w:p w:rsidR="00EC4504" w:rsidRDefault="00EC4504" w:rsidP="00EC450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EC4504" w:rsidRDefault="00EC4504" w:rsidP="00EC450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FF593E">
        <w:rPr>
          <w:rFonts w:ascii="Times New Roman" w:eastAsia="Arial" w:hAnsi="Times New Roman"/>
          <w:i/>
          <w:sz w:val="26"/>
          <w:szCs w:val="26"/>
        </w:rPr>
        <w:t>United States v. Dabbs</w:t>
      </w:r>
      <w:r>
        <w:rPr>
          <w:rFonts w:ascii="Times New Roman" w:eastAsia="Arial" w:hAnsi="Times New Roman"/>
          <w:sz w:val="26"/>
          <w:szCs w:val="26"/>
        </w:rPr>
        <w:t>, 134 F.3d 1071 (11</w:t>
      </w:r>
      <w:r w:rsidRPr="00087F27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1998) (a merchant account number constitutes an access device).</w:t>
      </w:r>
    </w:p>
    <w:p w:rsidR="00EC4504" w:rsidRDefault="00EC4504" w:rsidP="00EC450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EC4504" w:rsidRDefault="00EC4504" w:rsidP="00EC450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FF593E">
        <w:rPr>
          <w:rFonts w:ascii="Times New Roman" w:eastAsia="Arial" w:hAnsi="Times New Roman"/>
          <w:i/>
          <w:sz w:val="26"/>
          <w:szCs w:val="26"/>
        </w:rPr>
        <w:t>Obasohan v. United States Attorney General</w:t>
      </w:r>
      <w:r>
        <w:rPr>
          <w:rFonts w:ascii="Times New Roman" w:eastAsia="Arial" w:hAnsi="Times New Roman"/>
          <w:sz w:val="26"/>
          <w:szCs w:val="26"/>
        </w:rPr>
        <w:t>, 479 F.3d 785, 789 n.7 (11</w:t>
      </w:r>
      <w:r w:rsidRPr="00087F27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2007) (noting that § 1029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has no minimum loss associated with it, unlike § 1029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which contains a $1,000 minimum loss amount).</w:t>
      </w:r>
    </w:p>
    <w:p w:rsidR="00EC4504" w:rsidRDefault="00EC4504" w:rsidP="00EC450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EC4504" w:rsidRDefault="00EC4504" w:rsidP="00EC450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If the indictment alleges one of the sentencing enhancing circumstances listed in § 2326 (telemarketing, victimizing 10 or more persons over age 55, or targeting persons over age 55), that factor should be stated as an additional element under the principle of </w:t>
      </w:r>
      <w:r w:rsidRPr="00FF593E">
        <w:rPr>
          <w:rFonts w:ascii="Times New Roman" w:eastAsia="Arial" w:hAnsi="Times New Roman"/>
          <w:i/>
          <w:sz w:val="26"/>
          <w:szCs w:val="26"/>
        </w:rPr>
        <w:t>Apprendi</w:t>
      </w:r>
      <w:r>
        <w:rPr>
          <w:rFonts w:ascii="Times New Roman" w:eastAsia="Arial" w:hAnsi="Times New Roman"/>
          <w:sz w:val="26"/>
          <w:szCs w:val="26"/>
        </w:rPr>
        <w:t xml:space="preserve"> and consideration should be given to a lesser included offense instruction, Special Instruction 10.</w:t>
      </w:r>
      <w:bookmarkEnd w:id="0"/>
    </w:p>
    <w:sectPr w:rsidR="00725167" w:rsidRPr="00EC4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191" w:rsidRDefault="007D5191" w:rsidP="007D5191">
      <w:pPr>
        <w:spacing w:after="0" w:line="240" w:lineRule="auto"/>
      </w:pPr>
      <w:r>
        <w:separator/>
      </w:r>
    </w:p>
  </w:endnote>
  <w:endnote w:type="continuationSeparator" w:id="0">
    <w:p w:rsidR="007D5191" w:rsidRDefault="007D5191" w:rsidP="007D5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191" w:rsidRDefault="007D5191" w:rsidP="007D5191">
      <w:pPr>
        <w:spacing w:after="0" w:line="240" w:lineRule="auto"/>
      </w:pPr>
      <w:r>
        <w:separator/>
      </w:r>
    </w:p>
  </w:footnote>
  <w:footnote w:type="continuationSeparator" w:id="0">
    <w:p w:rsidR="007D5191" w:rsidRDefault="007D5191" w:rsidP="007D51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D5591"/>
    <w:rsid w:val="00110446"/>
    <w:rsid w:val="001217D5"/>
    <w:rsid w:val="0012744C"/>
    <w:rsid w:val="00135397"/>
    <w:rsid w:val="00157747"/>
    <w:rsid w:val="00166AB9"/>
    <w:rsid w:val="00194E82"/>
    <w:rsid w:val="001E5B53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72806"/>
    <w:rsid w:val="003A75E9"/>
    <w:rsid w:val="003B0729"/>
    <w:rsid w:val="003D6207"/>
    <w:rsid w:val="00406A43"/>
    <w:rsid w:val="00431B02"/>
    <w:rsid w:val="00440FFA"/>
    <w:rsid w:val="00465F35"/>
    <w:rsid w:val="00483B81"/>
    <w:rsid w:val="004A354F"/>
    <w:rsid w:val="004C148A"/>
    <w:rsid w:val="004C531E"/>
    <w:rsid w:val="00503A01"/>
    <w:rsid w:val="00511CE4"/>
    <w:rsid w:val="0056064A"/>
    <w:rsid w:val="00565EF7"/>
    <w:rsid w:val="00586722"/>
    <w:rsid w:val="005B45D9"/>
    <w:rsid w:val="005C4DB9"/>
    <w:rsid w:val="00615301"/>
    <w:rsid w:val="006179FB"/>
    <w:rsid w:val="00632C46"/>
    <w:rsid w:val="00636B96"/>
    <w:rsid w:val="006B1FC0"/>
    <w:rsid w:val="00725167"/>
    <w:rsid w:val="00780FDD"/>
    <w:rsid w:val="00783A2A"/>
    <w:rsid w:val="007C4B9C"/>
    <w:rsid w:val="007D5191"/>
    <w:rsid w:val="0080418B"/>
    <w:rsid w:val="00804614"/>
    <w:rsid w:val="0081575C"/>
    <w:rsid w:val="008A442C"/>
    <w:rsid w:val="008B149D"/>
    <w:rsid w:val="008B4118"/>
    <w:rsid w:val="008C025F"/>
    <w:rsid w:val="008D77A9"/>
    <w:rsid w:val="008E0F69"/>
    <w:rsid w:val="008E221D"/>
    <w:rsid w:val="008E4BA2"/>
    <w:rsid w:val="008E7C9B"/>
    <w:rsid w:val="009458BA"/>
    <w:rsid w:val="009745AC"/>
    <w:rsid w:val="009F5DAD"/>
    <w:rsid w:val="00A355FD"/>
    <w:rsid w:val="00A66EA6"/>
    <w:rsid w:val="00A746F3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5D99"/>
    <w:rsid w:val="00B930F5"/>
    <w:rsid w:val="00BA1F2B"/>
    <w:rsid w:val="00BD01A4"/>
    <w:rsid w:val="00BE616A"/>
    <w:rsid w:val="00BE645C"/>
    <w:rsid w:val="00C1091D"/>
    <w:rsid w:val="00C6290E"/>
    <w:rsid w:val="00C83E88"/>
    <w:rsid w:val="00CA3187"/>
    <w:rsid w:val="00CC4195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65F7A"/>
    <w:rsid w:val="00E81914"/>
    <w:rsid w:val="00E85563"/>
    <w:rsid w:val="00EA08A4"/>
    <w:rsid w:val="00EB1384"/>
    <w:rsid w:val="00EC4504"/>
    <w:rsid w:val="00F27B7F"/>
    <w:rsid w:val="00F64671"/>
    <w:rsid w:val="00F8667A"/>
    <w:rsid w:val="00FA4737"/>
    <w:rsid w:val="00FC60F3"/>
    <w:rsid w:val="00FF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5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191"/>
  </w:style>
  <w:style w:type="paragraph" w:styleId="Footer">
    <w:name w:val="footer"/>
    <w:basedOn w:val="Normal"/>
    <w:link w:val="FooterChar"/>
    <w:uiPriority w:val="99"/>
    <w:unhideWhenUsed/>
    <w:rsid w:val="007D5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1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5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191"/>
  </w:style>
  <w:style w:type="paragraph" w:styleId="Footer">
    <w:name w:val="footer"/>
    <w:basedOn w:val="Normal"/>
    <w:link w:val="FooterChar"/>
    <w:uiPriority w:val="99"/>
    <w:unhideWhenUsed/>
    <w:rsid w:val="007D5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2014-03-31T22:54:00Z</dcterms:created>
  <dcterms:modified xsi:type="dcterms:W3CDTF">2014-06-17T23:08:00Z</dcterms:modified>
</cp:coreProperties>
</file>