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F17" w:rsidRDefault="00841F17" w:rsidP="00841F17">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841F17" w:rsidRDefault="00841F17" w:rsidP="00841F17">
      <w:pPr>
        <w:spacing w:after="0" w:line="240" w:lineRule="auto"/>
        <w:jc w:val="both"/>
        <w:rPr>
          <w:rFonts w:ascii="Times New Roman" w:eastAsia="Arial" w:hAnsi="Times New Roman"/>
          <w:sz w:val="26"/>
          <w:szCs w:val="26"/>
        </w:rPr>
      </w:pPr>
    </w:p>
    <w:p w:rsidR="00841F17" w:rsidRDefault="00841F17" w:rsidP="00841F17">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(See Annotations and Comments following Offense Instruction 45.3, </w:t>
      </w:r>
      <w:r w:rsidRPr="005C0A70">
        <w:rPr>
          <w:rFonts w:ascii="Times New Roman" w:eastAsia="Arial" w:hAnsi="Times New Roman"/>
          <w:i/>
          <w:sz w:val="26"/>
          <w:szCs w:val="26"/>
        </w:rPr>
        <w:t>infra</w:t>
      </w:r>
      <w:r>
        <w:rPr>
          <w:rFonts w:ascii="Times New Roman" w:eastAsia="Arial" w:hAnsi="Times New Roman"/>
          <w:sz w:val="26"/>
          <w:szCs w:val="26"/>
        </w:rPr>
        <w:t>.)</w:t>
      </w:r>
    </w:p>
    <w:p w:rsidR="00841F17" w:rsidRDefault="00841F17" w:rsidP="00841F17">
      <w:pPr>
        <w:spacing w:after="0" w:line="240" w:lineRule="auto"/>
        <w:jc w:val="both"/>
        <w:rPr>
          <w:rFonts w:ascii="Times New Roman" w:eastAsia="Arial" w:hAnsi="Times New Roman"/>
          <w:sz w:val="26"/>
          <w:szCs w:val="26"/>
        </w:rPr>
      </w:pPr>
    </w:p>
    <w:p w:rsidR="00725167" w:rsidRPr="00841F17" w:rsidRDefault="00841F17" w:rsidP="00841F17">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the case of felony murder the malice aforethought requirement of Section 1111 is satisfied if the murder results from the perpetration of the enumerated crime. </w:t>
      </w:r>
      <w:r w:rsidRPr="005C0A70">
        <w:rPr>
          <w:rFonts w:ascii="Times New Roman" w:eastAsia="Arial" w:hAnsi="Times New Roman"/>
          <w:i/>
          <w:sz w:val="26"/>
          <w:szCs w:val="26"/>
        </w:rPr>
        <w:t>United States v. Thomas</w:t>
      </w:r>
      <w:r>
        <w:rPr>
          <w:rFonts w:ascii="Times New Roman" w:eastAsia="Arial" w:hAnsi="Times New Roman"/>
          <w:sz w:val="26"/>
          <w:szCs w:val="26"/>
        </w:rPr>
        <w:t>, 34 F.3d 44, 49 (2</w:t>
      </w:r>
      <w:r w:rsidRPr="00333364">
        <w:rPr>
          <w:rFonts w:ascii="Times New Roman" w:eastAsia="Arial" w:hAnsi="Times New Roman"/>
          <w:sz w:val="26"/>
          <w:szCs w:val="26"/>
          <w:vertAlign w:val="superscript"/>
        </w:rPr>
        <w:t>nd</w:t>
      </w:r>
      <w:r>
        <w:rPr>
          <w:rFonts w:ascii="Times New Roman" w:eastAsia="Arial" w:hAnsi="Times New Roman"/>
          <w:sz w:val="26"/>
          <w:szCs w:val="26"/>
        </w:rPr>
        <w:t xml:space="preserve"> Cir.), </w:t>
      </w:r>
      <w:r w:rsidRPr="005C0A70">
        <w:rPr>
          <w:rFonts w:ascii="Times New Roman" w:eastAsia="Arial" w:hAnsi="Times New Roman"/>
          <w:i/>
          <w:sz w:val="26"/>
          <w:szCs w:val="26"/>
        </w:rPr>
        <w:t>cert. denied</w:t>
      </w:r>
      <w:r>
        <w:rPr>
          <w:rFonts w:ascii="Times New Roman" w:eastAsia="Arial" w:hAnsi="Times New Roman"/>
          <w:sz w:val="26"/>
          <w:szCs w:val="26"/>
        </w:rPr>
        <w:t xml:space="preserve">, 513 U.S. 1007, 115 S. Ct. 527, 130 L. Ed. 2d 431 (1994). The felony murder statute “reflects the English common law principle that one who caused another’s death while committing or attempting to commit a felony was guilty of murder even though he did not intend to kill the deceased.” </w:t>
      </w:r>
      <w:r w:rsidRPr="005C0A70">
        <w:rPr>
          <w:rFonts w:ascii="Times New Roman" w:eastAsia="Arial" w:hAnsi="Times New Roman"/>
          <w:i/>
          <w:sz w:val="26"/>
          <w:szCs w:val="26"/>
        </w:rPr>
        <w:t>United States v. Tham</w:t>
      </w:r>
      <w:r>
        <w:rPr>
          <w:rFonts w:ascii="Times New Roman" w:eastAsia="Arial" w:hAnsi="Times New Roman"/>
          <w:sz w:val="26"/>
          <w:szCs w:val="26"/>
        </w:rPr>
        <w:t>, 118 F.3d 1501, 1508 (11</w:t>
      </w:r>
      <w:r w:rsidRPr="00333364">
        <w:rPr>
          <w:rFonts w:ascii="Times New Roman" w:eastAsia="Arial" w:hAnsi="Times New Roman"/>
          <w:sz w:val="26"/>
          <w:szCs w:val="26"/>
          <w:vertAlign w:val="superscript"/>
        </w:rPr>
        <w:t>th</w:t>
      </w:r>
      <w:r>
        <w:rPr>
          <w:rFonts w:ascii="Times New Roman" w:eastAsia="Arial" w:hAnsi="Times New Roman"/>
          <w:sz w:val="26"/>
          <w:szCs w:val="26"/>
        </w:rPr>
        <w:t xml:space="preserve"> Cir. 1997). It applies to the accidental, self-inflicted death of a co-conspirator. </w:t>
      </w:r>
      <w:r w:rsidRPr="005C0A70">
        <w:rPr>
          <w:rFonts w:ascii="Times New Roman" w:eastAsia="Arial" w:hAnsi="Times New Roman"/>
          <w:i/>
          <w:sz w:val="26"/>
          <w:szCs w:val="26"/>
        </w:rPr>
        <w:t>Id</w:t>
      </w:r>
      <w:r>
        <w:rPr>
          <w:rFonts w:ascii="Times New Roman" w:eastAsia="Arial" w:hAnsi="Times New Roman"/>
          <w:sz w:val="26"/>
          <w:szCs w:val="26"/>
        </w:rPr>
        <w:t>. Second-degree murder is not a lesser included offense of felony murder under Section 1111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because the malice aforethought elements are different. Unlike second-degree murder, malice aforethought for felony murder is satisfied only by commission of a felony enumerated in Section 1111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w:t>
      </w:r>
      <w:r w:rsidRPr="005C0A70">
        <w:rPr>
          <w:rFonts w:ascii="Times New Roman" w:eastAsia="Arial" w:hAnsi="Times New Roman"/>
          <w:i/>
          <w:sz w:val="26"/>
          <w:szCs w:val="26"/>
        </w:rPr>
        <w:t>United States v. Chanthadara</w:t>
      </w:r>
      <w:r>
        <w:rPr>
          <w:rFonts w:ascii="Times New Roman" w:eastAsia="Arial" w:hAnsi="Times New Roman"/>
          <w:sz w:val="26"/>
          <w:szCs w:val="26"/>
        </w:rPr>
        <w:t>, 230 F.3d 1237, 1258 (10</w:t>
      </w:r>
      <w:r w:rsidRPr="00333364">
        <w:rPr>
          <w:rFonts w:ascii="Times New Roman" w:eastAsia="Arial" w:hAnsi="Times New Roman"/>
          <w:sz w:val="26"/>
          <w:szCs w:val="26"/>
          <w:vertAlign w:val="superscript"/>
        </w:rPr>
        <w:t>th</w:t>
      </w:r>
      <w:r>
        <w:rPr>
          <w:rFonts w:ascii="Times New Roman" w:eastAsia="Arial" w:hAnsi="Times New Roman"/>
          <w:sz w:val="26"/>
          <w:szCs w:val="26"/>
        </w:rPr>
        <w:t xml:space="preserve"> Cir. 2000).</w:t>
      </w:r>
      <w:bookmarkEnd w:id="0"/>
    </w:p>
    <w:sectPr w:rsidR="00725167" w:rsidRPr="00841F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EFF" w:rsidRDefault="00934EFF" w:rsidP="00934EFF">
      <w:pPr>
        <w:spacing w:after="0" w:line="240" w:lineRule="auto"/>
      </w:pPr>
      <w:r>
        <w:separator/>
      </w:r>
    </w:p>
  </w:endnote>
  <w:endnote w:type="continuationSeparator" w:id="0">
    <w:p w:rsidR="00934EFF" w:rsidRDefault="00934EFF" w:rsidP="00934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EFF" w:rsidRDefault="00934EFF" w:rsidP="00934EFF">
      <w:pPr>
        <w:spacing w:after="0" w:line="240" w:lineRule="auto"/>
      </w:pPr>
      <w:r>
        <w:separator/>
      </w:r>
    </w:p>
  </w:footnote>
  <w:footnote w:type="continuationSeparator" w:id="0">
    <w:p w:rsidR="00934EFF" w:rsidRDefault="00934EFF" w:rsidP="00934E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D5591"/>
    <w:rsid w:val="00110446"/>
    <w:rsid w:val="001217D5"/>
    <w:rsid w:val="0012744C"/>
    <w:rsid w:val="00135397"/>
    <w:rsid w:val="00157747"/>
    <w:rsid w:val="00166AB9"/>
    <w:rsid w:val="00194E82"/>
    <w:rsid w:val="001E3479"/>
    <w:rsid w:val="001E5B53"/>
    <w:rsid w:val="002329BF"/>
    <w:rsid w:val="00233997"/>
    <w:rsid w:val="00236275"/>
    <w:rsid w:val="00245EF2"/>
    <w:rsid w:val="002604B9"/>
    <w:rsid w:val="00290544"/>
    <w:rsid w:val="002D2202"/>
    <w:rsid w:val="003067A0"/>
    <w:rsid w:val="00314335"/>
    <w:rsid w:val="00372806"/>
    <w:rsid w:val="003A75E9"/>
    <w:rsid w:val="003B0729"/>
    <w:rsid w:val="003D6207"/>
    <w:rsid w:val="00406A43"/>
    <w:rsid w:val="00431B02"/>
    <w:rsid w:val="00465F35"/>
    <w:rsid w:val="00483B81"/>
    <w:rsid w:val="00490344"/>
    <w:rsid w:val="004A354F"/>
    <w:rsid w:val="004C148A"/>
    <w:rsid w:val="004C531E"/>
    <w:rsid w:val="00503A01"/>
    <w:rsid w:val="00511CE4"/>
    <w:rsid w:val="0056064A"/>
    <w:rsid w:val="00565EF7"/>
    <w:rsid w:val="00586722"/>
    <w:rsid w:val="005B45D9"/>
    <w:rsid w:val="005C0A70"/>
    <w:rsid w:val="005C4DB9"/>
    <w:rsid w:val="00615301"/>
    <w:rsid w:val="006179FB"/>
    <w:rsid w:val="00632C46"/>
    <w:rsid w:val="00636B96"/>
    <w:rsid w:val="006B1FC0"/>
    <w:rsid w:val="00725167"/>
    <w:rsid w:val="00780FDD"/>
    <w:rsid w:val="00783A2A"/>
    <w:rsid w:val="007C4B9C"/>
    <w:rsid w:val="0080418B"/>
    <w:rsid w:val="00804614"/>
    <w:rsid w:val="0081575C"/>
    <w:rsid w:val="00841F17"/>
    <w:rsid w:val="008A442C"/>
    <w:rsid w:val="008B149D"/>
    <w:rsid w:val="008B4118"/>
    <w:rsid w:val="008C025F"/>
    <w:rsid w:val="008D77A9"/>
    <w:rsid w:val="008E0F69"/>
    <w:rsid w:val="008E221D"/>
    <w:rsid w:val="008E4BA2"/>
    <w:rsid w:val="008E7C9B"/>
    <w:rsid w:val="00934EFF"/>
    <w:rsid w:val="009458BA"/>
    <w:rsid w:val="009745AC"/>
    <w:rsid w:val="009C1E78"/>
    <w:rsid w:val="009E1B73"/>
    <w:rsid w:val="009F5DAD"/>
    <w:rsid w:val="00A355FD"/>
    <w:rsid w:val="00A66EA6"/>
    <w:rsid w:val="00A746F3"/>
    <w:rsid w:val="00AA01A6"/>
    <w:rsid w:val="00AA4174"/>
    <w:rsid w:val="00AC24E2"/>
    <w:rsid w:val="00AE0F43"/>
    <w:rsid w:val="00AE20D4"/>
    <w:rsid w:val="00AF2C77"/>
    <w:rsid w:val="00B111CD"/>
    <w:rsid w:val="00B11304"/>
    <w:rsid w:val="00B55CBA"/>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55A6"/>
    <w:rsid w:val="00DE7E97"/>
    <w:rsid w:val="00DE7F68"/>
    <w:rsid w:val="00E109DF"/>
    <w:rsid w:val="00E20CB0"/>
    <w:rsid w:val="00E31401"/>
    <w:rsid w:val="00E419F1"/>
    <w:rsid w:val="00E42DFC"/>
    <w:rsid w:val="00E61913"/>
    <w:rsid w:val="00E627E0"/>
    <w:rsid w:val="00E65F7A"/>
    <w:rsid w:val="00E81914"/>
    <w:rsid w:val="00E85563"/>
    <w:rsid w:val="00EA08A4"/>
    <w:rsid w:val="00EB1384"/>
    <w:rsid w:val="00EC39ED"/>
    <w:rsid w:val="00EC4504"/>
    <w:rsid w:val="00F27B7F"/>
    <w:rsid w:val="00F57477"/>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34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EFF"/>
  </w:style>
  <w:style w:type="paragraph" w:styleId="Footer">
    <w:name w:val="footer"/>
    <w:basedOn w:val="Normal"/>
    <w:link w:val="FooterChar"/>
    <w:uiPriority w:val="99"/>
    <w:unhideWhenUsed/>
    <w:rsid w:val="00934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34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EFF"/>
  </w:style>
  <w:style w:type="paragraph" w:styleId="Footer">
    <w:name w:val="footer"/>
    <w:basedOn w:val="Normal"/>
    <w:link w:val="FooterChar"/>
    <w:uiPriority w:val="99"/>
    <w:unhideWhenUsed/>
    <w:rsid w:val="00934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2014-03-31T22:48:00Z</dcterms:created>
  <dcterms:modified xsi:type="dcterms:W3CDTF">2014-06-17T22:21:00Z</dcterms:modified>
</cp:coreProperties>
</file>