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9A8" w:rsidRDefault="003B09A8" w:rsidP="003B09A8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r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3B09A8" w:rsidRDefault="003B09A8" w:rsidP="003B09A8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3B09A8" w:rsidRDefault="003B09A8" w:rsidP="003B09A8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18 U.S.C. § 1111 provides:</w:t>
      </w:r>
    </w:p>
    <w:p w:rsidR="003B09A8" w:rsidRDefault="003B09A8" w:rsidP="003B09A8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3B09A8" w:rsidRDefault="003B09A8" w:rsidP="003B09A8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Murder is the unlawful killing of a human being with malice aforethought. Every murder perpetrated by poison, lying in wait, or any other kind of willful, deliberate, malicious, and premeditated killing; or committed in the perpetration of, or attempt to perpetrate, any arson, escape, murder, kidnaping, treason, espionage, sabotage, aggravated sexual abuse or sexual abuse, child abuse, burglary, or robbery; or perpetrated as part of a pattern or practice of assault or torture against a child or children; or perpetrated from a premeditated design unlawfully and maliciously to effect the death of any human being other than him who is killed, is murder in the first degree.</w:t>
      </w:r>
    </w:p>
    <w:p w:rsidR="003B09A8" w:rsidRDefault="003B09A8" w:rsidP="003B09A8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3B09A8" w:rsidRDefault="003B09A8" w:rsidP="003B09A8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Any other murder is murder in the second degree.</w:t>
      </w:r>
    </w:p>
    <w:p w:rsidR="003B09A8" w:rsidRDefault="003B09A8" w:rsidP="003B09A8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3B09A8" w:rsidRDefault="003B09A8" w:rsidP="003B09A8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2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Within the special maritime and territorial jurisdiction of the United States,</w:t>
      </w:r>
    </w:p>
    <w:p w:rsidR="003B09A8" w:rsidRDefault="003B09A8" w:rsidP="003B09A8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3B09A8" w:rsidRDefault="003B09A8" w:rsidP="003B09A8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Whoever is guilty of murder in the first degree shall be punished by death or by imprisonment for life;</w:t>
      </w:r>
    </w:p>
    <w:p w:rsidR="003B09A8" w:rsidRDefault="003B09A8" w:rsidP="003B09A8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3B09A8" w:rsidRDefault="003B09A8" w:rsidP="003B09A8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Whoever is guilty of murder in the second degree, shall be imprisoned for any term of years or for life.</w:t>
      </w:r>
    </w:p>
    <w:p w:rsidR="003B09A8" w:rsidRDefault="003B09A8" w:rsidP="003B09A8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3B09A8" w:rsidRDefault="003B09A8" w:rsidP="003B09A8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First degree murder under Section 1111 (including murder by transferred intent) requires both a finding of malice aforethought and premeditation (or felony murder). </w:t>
      </w:r>
      <w:r w:rsidRPr="0031510B">
        <w:rPr>
          <w:rFonts w:ascii="Times New Roman" w:eastAsia="Arial" w:hAnsi="Times New Roman"/>
          <w:i/>
          <w:sz w:val="26"/>
          <w:szCs w:val="26"/>
        </w:rPr>
        <w:t>United States v. Weise</w:t>
      </w:r>
      <w:r>
        <w:rPr>
          <w:rFonts w:ascii="Times New Roman" w:eastAsia="Arial" w:hAnsi="Times New Roman"/>
          <w:sz w:val="26"/>
          <w:szCs w:val="26"/>
        </w:rPr>
        <w:t>, 89 F.3d 502, 505 (8</w:t>
      </w:r>
      <w:r w:rsidRPr="00C00BF0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1996) (“first degree murder is a killing with malice aforethought and premeditation, second degree murder is a killing with malice aforethought…”); </w:t>
      </w:r>
      <w:r w:rsidRPr="0031510B">
        <w:rPr>
          <w:rFonts w:ascii="Times New Roman" w:eastAsia="Arial" w:hAnsi="Times New Roman"/>
          <w:i/>
          <w:sz w:val="26"/>
          <w:szCs w:val="26"/>
        </w:rPr>
        <w:t>United States v. Shaw</w:t>
      </w:r>
      <w:r>
        <w:rPr>
          <w:rFonts w:ascii="Times New Roman" w:eastAsia="Arial" w:hAnsi="Times New Roman"/>
          <w:sz w:val="26"/>
          <w:szCs w:val="26"/>
        </w:rPr>
        <w:t>, 701 F.2d 367, 392 (5</w:t>
      </w:r>
      <w:r w:rsidRPr="00C00BF0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1983), </w:t>
      </w:r>
      <w:r w:rsidRPr="0031510B">
        <w:rPr>
          <w:rFonts w:ascii="Times New Roman" w:eastAsia="Arial" w:hAnsi="Times New Roman"/>
          <w:i/>
          <w:sz w:val="26"/>
          <w:szCs w:val="26"/>
        </w:rPr>
        <w:t>cert. denied</w:t>
      </w:r>
      <w:r>
        <w:rPr>
          <w:rFonts w:ascii="Times New Roman" w:eastAsia="Arial" w:hAnsi="Times New Roman"/>
          <w:sz w:val="26"/>
          <w:szCs w:val="26"/>
        </w:rPr>
        <w:t>, 465 U.S. 1067, 104 S. Ct. 1419, 79 L. Ed. 2d 744 (1984) (“Section 1111 retains the common law distinction between second degree murder, which requires a killing with malice aforethought, and first degree murder, which in addition to malice aforethought requires a killing with premeditation and deliberation.”)</w:t>
      </w:r>
    </w:p>
    <w:p w:rsidR="003B09A8" w:rsidRDefault="003B09A8" w:rsidP="003B09A8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3B09A8" w:rsidRDefault="003B09A8" w:rsidP="003B09A8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Malice aforethought is a term of art which has several definitions. </w:t>
      </w:r>
      <w:r w:rsidRPr="0031510B">
        <w:rPr>
          <w:rFonts w:ascii="Times New Roman" w:eastAsia="Arial" w:hAnsi="Times New Roman"/>
          <w:i/>
          <w:sz w:val="26"/>
          <w:szCs w:val="26"/>
        </w:rPr>
        <w:t>United States v. Pearson</w:t>
      </w:r>
      <w:r>
        <w:rPr>
          <w:rFonts w:ascii="Times New Roman" w:eastAsia="Arial" w:hAnsi="Times New Roman"/>
          <w:sz w:val="26"/>
          <w:szCs w:val="26"/>
        </w:rPr>
        <w:t>, 159 F.3d 480, 485 (10</w:t>
      </w:r>
      <w:r w:rsidRPr="00C00BF0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1998). Under both the common law and the federal murder statute, malice aforethought encompasses three distinct mental states: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intent to kill;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2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intent to do serious bodily injury; and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3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extreme recklessness and wanton disregard for human life (i.e. a “depraved heart”). </w:t>
      </w:r>
      <w:r w:rsidRPr="0031510B">
        <w:rPr>
          <w:rFonts w:ascii="Times New Roman" w:eastAsia="Arial" w:hAnsi="Times New Roman"/>
          <w:i/>
          <w:sz w:val="26"/>
          <w:szCs w:val="26"/>
        </w:rPr>
        <w:t>Lara v. U.S. Parole Commission</w:t>
      </w:r>
      <w:r>
        <w:rPr>
          <w:rFonts w:ascii="Times New Roman" w:eastAsia="Arial" w:hAnsi="Times New Roman"/>
          <w:sz w:val="26"/>
          <w:szCs w:val="26"/>
        </w:rPr>
        <w:t>, 990 F.2d 839, 841 (5</w:t>
      </w:r>
      <w:r w:rsidRPr="00C00BF0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1993); </w:t>
      </w:r>
      <w:r w:rsidRPr="0031510B">
        <w:rPr>
          <w:rFonts w:ascii="Times New Roman" w:eastAsia="Arial" w:hAnsi="Times New Roman"/>
          <w:i/>
          <w:sz w:val="26"/>
          <w:szCs w:val="26"/>
        </w:rPr>
        <w:t>United States v. Browner</w:t>
      </w:r>
      <w:r>
        <w:rPr>
          <w:rFonts w:ascii="Times New Roman" w:eastAsia="Arial" w:hAnsi="Times New Roman"/>
          <w:sz w:val="26"/>
          <w:szCs w:val="26"/>
        </w:rPr>
        <w:t>, 889 F.2d 549, 551-52 (5</w:t>
      </w:r>
      <w:r w:rsidRPr="00C00BF0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1989); </w:t>
      </w:r>
      <w:r w:rsidRPr="0031510B">
        <w:rPr>
          <w:rFonts w:ascii="Times New Roman" w:eastAsia="Arial" w:hAnsi="Times New Roman"/>
          <w:i/>
          <w:sz w:val="26"/>
          <w:szCs w:val="26"/>
        </w:rPr>
        <w:t>see also United States v. Harrelson</w:t>
      </w:r>
      <w:r>
        <w:rPr>
          <w:rFonts w:ascii="Times New Roman" w:eastAsia="Arial" w:hAnsi="Times New Roman"/>
          <w:sz w:val="26"/>
          <w:szCs w:val="26"/>
        </w:rPr>
        <w:t>, 766 F.2d 186, 189 n.5 (5</w:t>
      </w:r>
      <w:r w:rsidRPr="00C00BF0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Cir.) </w:t>
      </w:r>
      <w:r w:rsidRPr="0031510B">
        <w:rPr>
          <w:rFonts w:ascii="Times New Roman" w:eastAsia="Arial" w:hAnsi="Times New Roman"/>
          <w:i/>
          <w:sz w:val="26"/>
          <w:szCs w:val="26"/>
        </w:rPr>
        <w:t>cert. denied</w:t>
      </w:r>
      <w:r>
        <w:rPr>
          <w:rFonts w:ascii="Times New Roman" w:eastAsia="Arial" w:hAnsi="Times New Roman"/>
          <w:sz w:val="26"/>
          <w:szCs w:val="26"/>
        </w:rPr>
        <w:t xml:space="preserve">, 474 U.S. 908, 106 S. Ct. 277, 88 L. Ed. 2d 241 (1985) (“’Malice aforethought’ means an intent, at the time of the killing, willfully to take the life of a human being, or an intent </w:t>
      </w:r>
      <w:r>
        <w:rPr>
          <w:rFonts w:ascii="Times New Roman" w:eastAsia="Arial" w:hAnsi="Times New Roman"/>
          <w:sz w:val="26"/>
          <w:szCs w:val="26"/>
        </w:rPr>
        <w:lastRenderedPageBreak/>
        <w:t xml:space="preserve">willfully to act in callous and wanton disregard of the consequences to human life…”) (quoting 2 E. Devitt &amp; C. Blackmar, Federal Jury Practice and Instructions 215 (1977)). In </w:t>
      </w:r>
      <w:r w:rsidRPr="0031510B">
        <w:rPr>
          <w:rFonts w:ascii="Times New Roman" w:eastAsia="Arial" w:hAnsi="Times New Roman"/>
          <w:i/>
          <w:sz w:val="26"/>
          <w:szCs w:val="26"/>
        </w:rPr>
        <w:t>United States v. Milton</w:t>
      </w:r>
      <w:r>
        <w:rPr>
          <w:rFonts w:ascii="Times New Roman" w:eastAsia="Arial" w:hAnsi="Times New Roman"/>
          <w:sz w:val="26"/>
          <w:szCs w:val="26"/>
        </w:rPr>
        <w:t>, 27 F.3d 203, 206-07 (6</w:t>
      </w:r>
      <w:r w:rsidRPr="00C00BF0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1994), and </w:t>
      </w:r>
      <w:r w:rsidRPr="0031510B">
        <w:rPr>
          <w:rFonts w:ascii="Times New Roman" w:eastAsia="Arial" w:hAnsi="Times New Roman"/>
          <w:i/>
          <w:sz w:val="26"/>
          <w:szCs w:val="26"/>
        </w:rPr>
        <w:t>United States v. Sheffey</w:t>
      </w:r>
      <w:r>
        <w:rPr>
          <w:rFonts w:ascii="Times New Roman" w:eastAsia="Arial" w:hAnsi="Times New Roman"/>
          <w:sz w:val="26"/>
          <w:szCs w:val="26"/>
        </w:rPr>
        <w:t>, 57 F.3d 1419, 1430 (6</w:t>
      </w:r>
      <w:r w:rsidRPr="00C00BF0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1995), </w:t>
      </w:r>
      <w:r w:rsidRPr="0031510B">
        <w:rPr>
          <w:rFonts w:ascii="Times New Roman" w:eastAsia="Arial" w:hAnsi="Times New Roman"/>
          <w:i/>
          <w:sz w:val="26"/>
          <w:szCs w:val="26"/>
        </w:rPr>
        <w:t>cert. denied</w:t>
      </w:r>
      <w:r>
        <w:rPr>
          <w:rFonts w:ascii="Times New Roman" w:eastAsia="Arial" w:hAnsi="Times New Roman"/>
          <w:sz w:val="26"/>
          <w:szCs w:val="26"/>
        </w:rPr>
        <w:t xml:space="preserve"> 516 U.S. 1065, 116 S. Ct. 749, 133 L. Ed. 2d 697 (1996), the Sixth Circuit adopted essentially the same definition of malice aforethought: malice aforethought may be established by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“evidence of conduct which is ‘reckless and wanton, and a gross deviation from a reasonable standard of care, of such nature that a jury is warranted in inferring that defendant was aware of a serious risk of death or serious bodily harm.’” </w:t>
      </w:r>
      <w:r w:rsidRPr="0031510B">
        <w:rPr>
          <w:rFonts w:ascii="Times New Roman" w:eastAsia="Arial" w:hAnsi="Times New Roman"/>
          <w:i/>
          <w:sz w:val="26"/>
          <w:szCs w:val="26"/>
        </w:rPr>
        <w:t>United States v. Black Elk</w:t>
      </w:r>
      <w:r>
        <w:rPr>
          <w:rFonts w:ascii="Times New Roman" w:eastAsia="Arial" w:hAnsi="Times New Roman"/>
          <w:sz w:val="26"/>
          <w:szCs w:val="26"/>
        </w:rPr>
        <w:t>, 579 F.2d 49, 51 (8</w:t>
      </w:r>
      <w:r w:rsidRPr="00C00BF0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1978) (citing </w:t>
      </w:r>
      <w:r w:rsidRPr="0031510B">
        <w:rPr>
          <w:rFonts w:ascii="Times New Roman" w:eastAsia="Arial" w:hAnsi="Times New Roman"/>
          <w:i/>
          <w:sz w:val="26"/>
          <w:szCs w:val="26"/>
        </w:rPr>
        <w:t>United States v. Cox</w:t>
      </w:r>
      <w:r>
        <w:rPr>
          <w:rFonts w:ascii="Times New Roman" w:eastAsia="Arial" w:hAnsi="Times New Roman"/>
          <w:sz w:val="26"/>
          <w:szCs w:val="26"/>
        </w:rPr>
        <w:t xml:space="preserve">, 509 F.2d 390, 392 (D.C. Cir. 1974));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2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evidence that the defendant “intentionally commit[ted] a wrongful act without legal justification or excuse.” </w:t>
      </w:r>
      <w:r w:rsidRPr="0031510B">
        <w:rPr>
          <w:rFonts w:ascii="Times New Roman" w:eastAsia="Arial" w:hAnsi="Times New Roman"/>
          <w:i/>
          <w:sz w:val="26"/>
          <w:szCs w:val="26"/>
        </w:rPr>
        <w:t>United States v. Celestine</w:t>
      </w:r>
      <w:r>
        <w:rPr>
          <w:rFonts w:ascii="Times New Roman" w:eastAsia="Arial" w:hAnsi="Times New Roman"/>
          <w:sz w:val="26"/>
          <w:szCs w:val="26"/>
        </w:rPr>
        <w:t>, 510 F.2d 457, 459 (9</w:t>
      </w:r>
      <w:r w:rsidRPr="00C00BF0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1975); or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3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“circumstances which show ‘a wanton and depraved spirit, a mind bent on evil mischief without regard to its consequences.’” </w:t>
      </w:r>
      <w:r w:rsidRPr="0031510B">
        <w:rPr>
          <w:rFonts w:ascii="Times New Roman" w:eastAsia="Arial" w:hAnsi="Times New Roman"/>
          <w:i/>
          <w:sz w:val="26"/>
          <w:szCs w:val="26"/>
        </w:rPr>
        <w:t>Id</w:t>
      </w:r>
      <w:r>
        <w:rPr>
          <w:rFonts w:ascii="Times New Roman" w:eastAsia="Arial" w:hAnsi="Times New Roman"/>
          <w:sz w:val="26"/>
          <w:szCs w:val="26"/>
        </w:rPr>
        <w:t xml:space="preserve">. To prove that the Defendant acted with malice aforethought, “the government must show that he engaged in ‘conduct which is reckless and wanton, and a gross deviation from a reasonable standard of care, of such nature that a jury is warranted in inferring that defendant was aware of a serious risk of death or serious bodily harm.’” </w:t>
      </w:r>
      <w:r w:rsidRPr="0031510B">
        <w:rPr>
          <w:rFonts w:ascii="Times New Roman" w:eastAsia="Arial" w:hAnsi="Times New Roman"/>
          <w:i/>
          <w:sz w:val="26"/>
          <w:szCs w:val="26"/>
        </w:rPr>
        <w:t>United States v. Tan</w:t>
      </w:r>
      <w:r>
        <w:rPr>
          <w:rFonts w:ascii="Times New Roman" w:eastAsia="Arial" w:hAnsi="Times New Roman"/>
          <w:sz w:val="26"/>
          <w:szCs w:val="26"/>
        </w:rPr>
        <w:t>, 254 F.3d 1204, 1207 (10</w:t>
      </w:r>
      <w:r w:rsidRPr="00196921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2001) (addressing second degree murder) (quoting </w:t>
      </w:r>
      <w:r w:rsidRPr="0031510B">
        <w:rPr>
          <w:rFonts w:ascii="Times New Roman" w:eastAsia="Arial" w:hAnsi="Times New Roman"/>
          <w:i/>
          <w:sz w:val="26"/>
          <w:szCs w:val="26"/>
        </w:rPr>
        <w:t>United States v. Wood</w:t>
      </w:r>
      <w:r>
        <w:rPr>
          <w:rFonts w:ascii="Times New Roman" w:eastAsia="Arial" w:hAnsi="Times New Roman"/>
          <w:sz w:val="26"/>
          <w:szCs w:val="26"/>
        </w:rPr>
        <w:t>, 207 F.3d 1222, 1228 (10</w:t>
      </w:r>
      <w:r w:rsidRPr="00196921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2000)). In other words, “the government must show that Defendant knew that his conduct posed a serious risk of death or harm to himself or others, but did not care.” </w:t>
      </w:r>
      <w:r w:rsidRPr="0031510B">
        <w:rPr>
          <w:rFonts w:ascii="Times New Roman" w:eastAsia="Arial" w:hAnsi="Times New Roman"/>
          <w:i/>
          <w:sz w:val="26"/>
          <w:szCs w:val="26"/>
        </w:rPr>
        <w:t>Id</w:t>
      </w:r>
      <w:r w:rsidRPr="0031510B">
        <w:rPr>
          <w:rFonts w:ascii="Times New Roman" w:eastAsia="Arial" w:hAnsi="Times New Roman"/>
          <w:sz w:val="26"/>
          <w:szCs w:val="26"/>
        </w:rPr>
        <w:t xml:space="preserve">. </w:t>
      </w:r>
      <w:r w:rsidRPr="0031510B">
        <w:rPr>
          <w:rFonts w:ascii="Times New Roman" w:eastAsia="Arial" w:hAnsi="Times New Roman"/>
          <w:i/>
          <w:sz w:val="26"/>
          <w:szCs w:val="26"/>
        </w:rPr>
        <w:t>See also United States v. Sheffey</w:t>
      </w:r>
      <w:r>
        <w:rPr>
          <w:rFonts w:ascii="Times New Roman" w:eastAsia="Arial" w:hAnsi="Times New Roman"/>
          <w:sz w:val="26"/>
          <w:szCs w:val="26"/>
        </w:rPr>
        <w:t>, 57 F.3d 1419, 1430 (6</w:t>
      </w:r>
      <w:r w:rsidRPr="00196921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1995), </w:t>
      </w:r>
      <w:r w:rsidRPr="0031510B">
        <w:rPr>
          <w:rFonts w:ascii="Times New Roman" w:eastAsia="Arial" w:hAnsi="Times New Roman"/>
          <w:i/>
          <w:sz w:val="26"/>
          <w:szCs w:val="26"/>
        </w:rPr>
        <w:t>cert. denied</w:t>
      </w:r>
      <w:r>
        <w:rPr>
          <w:rFonts w:ascii="Times New Roman" w:eastAsia="Arial" w:hAnsi="Times New Roman"/>
          <w:sz w:val="26"/>
          <w:szCs w:val="26"/>
        </w:rPr>
        <w:t xml:space="preserve">, 516 U.S. 1065, 116 S. Ct. 749, 133 L. Ed. 2d 697 (1996); </w:t>
      </w:r>
      <w:r w:rsidRPr="0031510B">
        <w:rPr>
          <w:rFonts w:ascii="Times New Roman" w:eastAsia="Arial" w:hAnsi="Times New Roman"/>
          <w:i/>
          <w:sz w:val="26"/>
          <w:szCs w:val="26"/>
        </w:rPr>
        <w:t>United States v. Milton</w:t>
      </w:r>
      <w:r>
        <w:rPr>
          <w:rFonts w:ascii="Times New Roman" w:eastAsia="Arial" w:hAnsi="Times New Roman"/>
          <w:sz w:val="26"/>
          <w:szCs w:val="26"/>
        </w:rPr>
        <w:t>, 27 F.3d 203, 206-07 (6</w:t>
      </w:r>
      <w:r w:rsidRPr="00196921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1994), </w:t>
      </w:r>
      <w:r w:rsidRPr="0031510B">
        <w:rPr>
          <w:rFonts w:ascii="Times New Roman" w:eastAsia="Arial" w:hAnsi="Times New Roman"/>
          <w:i/>
          <w:sz w:val="26"/>
          <w:szCs w:val="26"/>
        </w:rPr>
        <w:t>cert. denied</w:t>
      </w:r>
      <w:r>
        <w:rPr>
          <w:rFonts w:ascii="Times New Roman" w:eastAsia="Arial" w:hAnsi="Times New Roman"/>
          <w:sz w:val="26"/>
          <w:szCs w:val="26"/>
        </w:rPr>
        <w:t>, 513 U.S. 1085, 115 S. Ct. 741, 130 L. Ed. 2d 642 (1995).</w:t>
      </w:r>
    </w:p>
    <w:p w:rsidR="003B09A8" w:rsidRDefault="003B09A8" w:rsidP="003B09A8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725167" w:rsidRPr="003B09A8" w:rsidRDefault="003B09A8" w:rsidP="003B09A8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In the case of a felony murder, the malice aforethought requirement of section 1111 is satisfied if the murder results from the perpetration of the enumerated crime. </w:t>
      </w:r>
      <w:r w:rsidRPr="0031510B">
        <w:rPr>
          <w:rFonts w:ascii="Times New Roman" w:eastAsia="Arial" w:hAnsi="Times New Roman"/>
          <w:i/>
          <w:sz w:val="26"/>
          <w:szCs w:val="26"/>
        </w:rPr>
        <w:t>See United States v. Thomas</w:t>
      </w:r>
      <w:r>
        <w:rPr>
          <w:rFonts w:ascii="Times New Roman" w:eastAsia="Arial" w:hAnsi="Times New Roman"/>
          <w:sz w:val="26"/>
          <w:szCs w:val="26"/>
        </w:rPr>
        <w:t>, 34 F.3d 44, 49 (2</w:t>
      </w:r>
      <w:r w:rsidRPr="00196921">
        <w:rPr>
          <w:rFonts w:ascii="Times New Roman" w:eastAsia="Arial" w:hAnsi="Times New Roman"/>
          <w:sz w:val="26"/>
          <w:szCs w:val="26"/>
          <w:vertAlign w:val="superscript"/>
        </w:rPr>
        <w:t>nd</w:t>
      </w:r>
      <w:r>
        <w:rPr>
          <w:rFonts w:ascii="Times New Roman" w:eastAsia="Arial" w:hAnsi="Times New Roman"/>
          <w:sz w:val="26"/>
          <w:szCs w:val="26"/>
        </w:rPr>
        <w:t xml:space="preserve"> Cir.), </w:t>
      </w:r>
      <w:r w:rsidRPr="0031510B">
        <w:rPr>
          <w:rFonts w:ascii="Times New Roman" w:eastAsia="Arial" w:hAnsi="Times New Roman"/>
          <w:i/>
          <w:sz w:val="26"/>
          <w:szCs w:val="26"/>
        </w:rPr>
        <w:t>cert. denied</w:t>
      </w:r>
      <w:r>
        <w:rPr>
          <w:rFonts w:ascii="Times New Roman" w:eastAsia="Arial" w:hAnsi="Times New Roman"/>
          <w:sz w:val="26"/>
          <w:szCs w:val="26"/>
        </w:rPr>
        <w:t>, 513 U.S. 1007, 115 S. Ct. 527, 130 L. Ed. 2d 431 (1994).</w:t>
      </w:r>
      <w:bookmarkEnd w:id="0"/>
    </w:p>
    <w:sectPr w:rsidR="00725167" w:rsidRPr="003B09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152" w:rsidRDefault="00221152" w:rsidP="00221152">
      <w:pPr>
        <w:spacing w:after="0" w:line="240" w:lineRule="auto"/>
      </w:pPr>
      <w:r>
        <w:separator/>
      </w:r>
    </w:p>
  </w:endnote>
  <w:endnote w:type="continuationSeparator" w:id="0">
    <w:p w:rsidR="00221152" w:rsidRDefault="00221152" w:rsidP="00221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152" w:rsidRDefault="00221152" w:rsidP="00221152">
      <w:pPr>
        <w:spacing w:after="0" w:line="240" w:lineRule="auto"/>
      </w:pPr>
      <w:r>
        <w:separator/>
      </w:r>
    </w:p>
  </w:footnote>
  <w:footnote w:type="continuationSeparator" w:id="0">
    <w:p w:rsidR="00221152" w:rsidRDefault="00221152" w:rsidP="002211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14B03"/>
    <w:rsid w:val="0002352A"/>
    <w:rsid w:val="000256FD"/>
    <w:rsid w:val="0003583F"/>
    <w:rsid w:val="00042055"/>
    <w:rsid w:val="0005723A"/>
    <w:rsid w:val="0006716B"/>
    <w:rsid w:val="00087D55"/>
    <w:rsid w:val="00091548"/>
    <w:rsid w:val="00097C62"/>
    <w:rsid w:val="000A7260"/>
    <w:rsid w:val="000B303C"/>
    <w:rsid w:val="000C1BFC"/>
    <w:rsid w:val="000C32C1"/>
    <w:rsid w:val="000D5591"/>
    <w:rsid w:val="00110446"/>
    <w:rsid w:val="001217D5"/>
    <w:rsid w:val="0012744C"/>
    <w:rsid w:val="00135397"/>
    <w:rsid w:val="00157747"/>
    <w:rsid w:val="00166AB9"/>
    <w:rsid w:val="00194E82"/>
    <w:rsid w:val="001E3479"/>
    <w:rsid w:val="001E5B53"/>
    <w:rsid w:val="00221152"/>
    <w:rsid w:val="002329BF"/>
    <w:rsid w:val="00233997"/>
    <w:rsid w:val="00236275"/>
    <w:rsid w:val="00245EF2"/>
    <w:rsid w:val="002604B9"/>
    <w:rsid w:val="00290544"/>
    <w:rsid w:val="002D2202"/>
    <w:rsid w:val="003067A0"/>
    <w:rsid w:val="00314335"/>
    <w:rsid w:val="0031510B"/>
    <w:rsid w:val="00372806"/>
    <w:rsid w:val="003A75E9"/>
    <w:rsid w:val="003B0729"/>
    <w:rsid w:val="003B09A8"/>
    <w:rsid w:val="003D6207"/>
    <w:rsid w:val="00406A43"/>
    <w:rsid w:val="00431B02"/>
    <w:rsid w:val="00465F35"/>
    <w:rsid w:val="00483B81"/>
    <w:rsid w:val="004A354F"/>
    <w:rsid w:val="004C148A"/>
    <w:rsid w:val="004C531E"/>
    <w:rsid w:val="00503A01"/>
    <w:rsid w:val="00511CE4"/>
    <w:rsid w:val="0056064A"/>
    <w:rsid w:val="00565EF7"/>
    <w:rsid w:val="00586722"/>
    <w:rsid w:val="005B45D9"/>
    <w:rsid w:val="005C4DB9"/>
    <w:rsid w:val="00615301"/>
    <w:rsid w:val="006179FB"/>
    <w:rsid w:val="00632C46"/>
    <w:rsid w:val="00636B96"/>
    <w:rsid w:val="006B1FC0"/>
    <w:rsid w:val="00725167"/>
    <w:rsid w:val="00780FDD"/>
    <w:rsid w:val="00783A2A"/>
    <w:rsid w:val="007C4B9C"/>
    <w:rsid w:val="0080418B"/>
    <w:rsid w:val="00804614"/>
    <w:rsid w:val="0081575C"/>
    <w:rsid w:val="00841F17"/>
    <w:rsid w:val="008A442C"/>
    <w:rsid w:val="008B149D"/>
    <w:rsid w:val="008B4118"/>
    <w:rsid w:val="008C025F"/>
    <w:rsid w:val="008D77A9"/>
    <w:rsid w:val="008E0F69"/>
    <w:rsid w:val="008E221D"/>
    <w:rsid w:val="008E4BA2"/>
    <w:rsid w:val="008E7C9B"/>
    <w:rsid w:val="009458BA"/>
    <w:rsid w:val="009745AC"/>
    <w:rsid w:val="009C1E78"/>
    <w:rsid w:val="009E1B73"/>
    <w:rsid w:val="009F5DAD"/>
    <w:rsid w:val="00A355FD"/>
    <w:rsid w:val="00A66EA6"/>
    <w:rsid w:val="00A746F3"/>
    <w:rsid w:val="00A75CB0"/>
    <w:rsid w:val="00AA01A6"/>
    <w:rsid w:val="00AA4174"/>
    <w:rsid w:val="00AC24E2"/>
    <w:rsid w:val="00AE0F43"/>
    <w:rsid w:val="00AE20D4"/>
    <w:rsid w:val="00AF2C77"/>
    <w:rsid w:val="00B111CD"/>
    <w:rsid w:val="00B11304"/>
    <w:rsid w:val="00B55CBA"/>
    <w:rsid w:val="00B8093D"/>
    <w:rsid w:val="00B85D99"/>
    <w:rsid w:val="00B930F5"/>
    <w:rsid w:val="00BA1F2B"/>
    <w:rsid w:val="00BD01A4"/>
    <w:rsid w:val="00BE616A"/>
    <w:rsid w:val="00BE645C"/>
    <w:rsid w:val="00C1091D"/>
    <w:rsid w:val="00C6290E"/>
    <w:rsid w:val="00C83E88"/>
    <w:rsid w:val="00CA3187"/>
    <w:rsid w:val="00CC4195"/>
    <w:rsid w:val="00CD51F7"/>
    <w:rsid w:val="00CD734E"/>
    <w:rsid w:val="00CE7DC5"/>
    <w:rsid w:val="00CF4F9A"/>
    <w:rsid w:val="00D163A7"/>
    <w:rsid w:val="00D513C4"/>
    <w:rsid w:val="00D7262F"/>
    <w:rsid w:val="00DA00D9"/>
    <w:rsid w:val="00DC18AE"/>
    <w:rsid w:val="00DE55A6"/>
    <w:rsid w:val="00DE7E97"/>
    <w:rsid w:val="00DE7F68"/>
    <w:rsid w:val="00E109DF"/>
    <w:rsid w:val="00E20CB0"/>
    <w:rsid w:val="00E31401"/>
    <w:rsid w:val="00E419F1"/>
    <w:rsid w:val="00E42DFC"/>
    <w:rsid w:val="00E61913"/>
    <w:rsid w:val="00E627E0"/>
    <w:rsid w:val="00E65F7A"/>
    <w:rsid w:val="00E81914"/>
    <w:rsid w:val="00E85563"/>
    <w:rsid w:val="00EA08A4"/>
    <w:rsid w:val="00EB1384"/>
    <w:rsid w:val="00EC39ED"/>
    <w:rsid w:val="00EC4504"/>
    <w:rsid w:val="00F27B7F"/>
    <w:rsid w:val="00F57477"/>
    <w:rsid w:val="00F64671"/>
    <w:rsid w:val="00F8667A"/>
    <w:rsid w:val="00FA4737"/>
    <w:rsid w:val="00FC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11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152"/>
  </w:style>
  <w:style w:type="paragraph" w:styleId="Footer">
    <w:name w:val="footer"/>
    <w:basedOn w:val="Normal"/>
    <w:link w:val="FooterChar"/>
    <w:uiPriority w:val="99"/>
    <w:unhideWhenUsed/>
    <w:rsid w:val="002211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1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11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152"/>
  </w:style>
  <w:style w:type="paragraph" w:styleId="Footer">
    <w:name w:val="footer"/>
    <w:basedOn w:val="Normal"/>
    <w:link w:val="FooterChar"/>
    <w:uiPriority w:val="99"/>
    <w:unhideWhenUsed/>
    <w:rsid w:val="002211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2014-03-31T22:47:00Z</dcterms:created>
  <dcterms:modified xsi:type="dcterms:W3CDTF">2014-06-17T22:19:00Z</dcterms:modified>
</cp:coreProperties>
</file>