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F4B" w:rsidRDefault="000C3F4B" w:rsidP="000C3F4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0C3F4B" w:rsidRDefault="000C3F4B" w:rsidP="000C3F4B">
      <w:pPr>
        <w:spacing w:after="0" w:line="240" w:lineRule="auto"/>
        <w:jc w:val="both"/>
        <w:rPr>
          <w:rFonts w:ascii="Times New Roman" w:eastAsia="Arial" w:hAnsi="Times New Roman"/>
          <w:sz w:val="26"/>
          <w:szCs w:val="26"/>
        </w:rPr>
      </w:pPr>
    </w:p>
    <w:p w:rsidR="000C3F4B" w:rsidRDefault="000C3F4B" w:rsidP="000C3F4B">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1113 provides:</w:t>
      </w:r>
    </w:p>
    <w:p w:rsidR="000C3F4B" w:rsidRDefault="000C3F4B" w:rsidP="000C3F4B">
      <w:pPr>
        <w:spacing w:after="0" w:line="240" w:lineRule="auto"/>
        <w:jc w:val="both"/>
        <w:rPr>
          <w:rFonts w:ascii="Times New Roman" w:eastAsia="Arial" w:hAnsi="Times New Roman"/>
          <w:sz w:val="26"/>
          <w:szCs w:val="26"/>
        </w:rPr>
      </w:pPr>
    </w:p>
    <w:p w:rsidR="000C3F4B" w:rsidRDefault="000C3F4B" w:rsidP="000C3F4B">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Except as provided in section 113 of this title, whoever, within the special maritime and territorial jurisdiction of the United States, attempts to commit murder or manslaughter, shall, for an attempt to commit murder be imprisoned not more than twenty years or fined under this title, or both, and for an attempt to commit manslaughter be imprisoned not more than seven years or fined under this title, or both.</w:t>
      </w:r>
    </w:p>
    <w:p w:rsidR="000C3F4B" w:rsidRDefault="000C3F4B" w:rsidP="000C3F4B">
      <w:pPr>
        <w:spacing w:after="0" w:line="240" w:lineRule="auto"/>
        <w:jc w:val="both"/>
        <w:rPr>
          <w:rFonts w:ascii="Times New Roman" w:eastAsia="Arial" w:hAnsi="Times New Roman"/>
          <w:sz w:val="26"/>
          <w:szCs w:val="26"/>
        </w:rPr>
      </w:pPr>
    </w:p>
    <w:p w:rsidR="000C3F4B" w:rsidRDefault="000C3F4B" w:rsidP="000C3F4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Attempted murder requires proof of a specific intent to kill the victim. Recklessness and wanton conduct, grossly deviating from a reasonable standard of care such that the Defendant was aware of the serious risk of death, will not suffice as proof of an intent to kill. </w:t>
      </w:r>
      <w:r w:rsidRPr="0012233A">
        <w:rPr>
          <w:rFonts w:ascii="Times New Roman" w:eastAsia="Arial" w:hAnsi="Times New Roman"/>
          <w:i/>
          <w:sz w:val="26"/>
          <w:szCs w:val="26"/>
        </w:rPr>
        <w:t>Braxton v. United States</w:t>
      </w:r>
      <w:r>
        <w:rPr>
          <w:rFonts w:ascii="Times New Roman" w:eastAsia="Arial" w:hAnsi="Times New Roman"/>
          <w:sz w:val="26"/>
          <w:szCs w:val="26"/>
        </w:rPr>
        <w:t xml:space="preserve">, 500 U.S. 344, 351 n.1, 111 S. Ct. 1854, 1859 n.1, 114 L. Ed. 2d 385 (1991) (“Although a murder may be committed without an intent to kill, an attempt to commit murder requires a specific intent to kill.”); </w:t>
      </w:r>
      <w:r w:rsidRPr="0012233A">
        <w:rPr>
          <w:rFonts w:ascii="Times New Roman" w:eastAsia="Arial" w:hAnsi="Times New Roman"/>
          <w:i/>
          <w:sz w:val="26"/>
          <w:szCs w:val="26"/>
        </w:rPr>
        <w:t>United States v. Kwong</w:t>
      </w:r>
      <w:r>
        <w:rPr>
          <w:rFonts w:ascii="Times New Roman" w:eastAsia="Arial" w:hAnsi="Times New Roman"/>
          <w:sz w:val="26"/>
          <w:szCs w:val="26"/>
        </w:rPr>
        <w:t>, 14 F.3d 189, 194-95 (2</w:t>
      </w:r>
      <w:r w:rsidRPr="00CA652E">
        <w:rPr>
          <w:rFonts w:ascii="Times New Roman" w:eastAsia="Arial" w:hAnsi="Times New Roman"/>
          <w:sz w:val="26"/>
          <w:szCs w:val="26"/>
          <w:vertAlign w:val="superscript"/>
        </w:rPr>
        <w:t>nd</w:t>
      </w:r>
      <w:r>
        <w:rPr>
          <w:rFonts w:ascii="Times New Roman" w:eastAsia="Arial" w:hAnsi="Times New Roman"/>
          <w:sz w:val="26"/>
          <w:szCs w:val="26"/>
        </w:rPr>
        <w:t xml:space="preserve"> Cir. 1994).</w:t>
      </w:r>
    </w:p>
    <w:p w:rsidR="000C3F4B" w:rsidRDefault="000C3F4B" w:rsidP="000C3F4B">
      <w:pPr>
        <w:spacing w:after="0" w:line="240" w:lineRule="auto"/>
        <w:jc w:val="both"/>
        <w:rPr>
          <w:rFonts w:ascii="Times New Roman" w:eastAsia="Arial" w:hAnsi="Times New Roman"/>
          <w:sz w:val="26"/>
          <w:szCs w:val="26"/>
        </w:rPr>
      </w:pPr>
    </w:p>
    <w:p w:rsidR="00725167" w:rsidRPr="000C3F4B" w:rsidRDefault="000C3F4B" w:rsidP="000C3F4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Whether a Defendant’s conduct amounts to a “substantial step” depends in large part on the facts of each case. </w:t>
      </w:r>
      <w:r w:rsidRPr="0012233A">
        <w:rPr>
          <w:rFonts w:ascii="Times New Roman" w:eastAsia="Arial" w:hAnsi="Times New Roman"/>
          <w:i/>
          <w:sz w:val="26"/>
          <w:szCs w:val="26"/>
        </w:rPr>
        <w:t>United States v. Neal</w:t>
      </w:r>
      <w:r>
        <w:rPr>
          <w:rFonts w:ascii="Times New Roman" w:eastAsia="Arial" w:hAnsi="Times New Roman"/>
          <w:sz w:val="26"/>
          <w:szCs w:val="26"/>
        </w:rPr>
        <w:t>, 78 F.3d 901, 906 (4</w:t>
      </w:r>
      <w:r w:rsidRPr="007701A0">
        <w:rPr>
          <w:rFonts w:ascii="Times New Roman" w:eastAsia="Arial" w:hAnsi="Times New Roman"/>
          <w:sz w:val="26"/>
          <w:szCs w:val="26"/>
          <w:vertAlign w:val="superscript"/>
        </w:rPr>
        <w:t>th</w:t>
      </w:r>
      <w:r>
        <w:rPr>
          <w:rFonts w:ascii="Times New Roman" w:eastAsia="Arial" w:hAnsi="Times New Roman"/>
          <w:sz w:val="26"/>
          <w:szCs w:val="26"/>
        </w:rPr>
        <w:t xml:space="preserve"> Cir. 1996). “</w:t>
      </w:r>
      <w:r w:rsidR="0012233A">
        <w:rPr>
          <w:rFonts w:ascii="Times New Roman" w:eastAsia="Arial" w:hAnsi="Times New Roman"/>
          <w:sz w:val="26"/>
          <w:szCs w:val="26"/>
        </w:rPr>
        <w:t>’</w:t>
      </w:r>
      <w:r>
        <w:rPr>
          <w:rFonts w:ascii="Times New Roman" w:eastAsia="Arial" w:hAnsi="Times New Roman"/>
          <w:sz w:val="26"/>
          <w:szCs w:val="26"/>
        </w:rPr>
        <w:t>A substantial step is an appreciable fragment of a crime and an action of such substantiality that, unless frustrated, the crime would have occurred.</w:t>
      </w:r>
      <w:r w:rsidR="0012233A">
        <w:rPr>
          <w:rFonts w:ascii="Times New Roman" w:eastAsia="Arial" w:hAnsi="Times New Roman"/>
          <w:sz w:val="26"/>
          <w:szCs w:val="26"/>
        </w:rPr>
        <w:t>’</w:t>
      </w:r>
      <w:r>
        <w:rPr>
          <w:rFonts w:ascii="Times New Roman" w:eastAsia="Arial" w:hAnsi="Times New Roman"/>
          <w:sz w:val="26"/>
          <w:szCs w:val="26"/>
        </w:rPr>
        <w:t xml:space="preserve">” </w:t>
      </w:r>
      <w:r w:rsidRPr="0012233A">
        <w:rPr>
          <w:rFonts w:ascii="Times New Roman" w:eastAsia="Arial" w:hAnsi="Times New Roman"/>
          <w:i/>
          <w:sz w:val="26"/>
          <w:szCs w:val="26"/>
        </w:rPr>
        <w:t>United States v. Smith</w:t>
      </w:r>
      <w:r>
        <w:rPr>
          <w:rFonts w:ascii="Times New Roman" w:eastAsia="Arial" w:hAnsi="Times New Roman"/>
          <w:sz w:val="26"/>
          <w:szCs w:val="26"/>
        </w:rPr>
        <w:t>, 264 F.3d 1012, 1016 (10</w:t>
      </w:r>
      <w:r w:rsidRPr="007701A0">
        <w:rPr>
          <w:rFonts w:ascii="Times New Roman" w:eastAsia="Arial" w:hAnsi="Times New Roman"/>
          <w:sz w:val="26"/>
          <w:szCs w:val="26"/>
          <w:vertAlign w:val="superscript"/>
        </w:rPr>
        <w:t>th</w:t>
      </w:r>
      <w:r>
        <w:rPr>
          <w:rFonts w:ascii="Times New Roman" w:eastAsia="Arial" w:hAnsi="Times New Roman"/>
          <w:sz w:val="26"/>
          <w:szCs w:val="26"/>
        </w:rPr>
        <w:t xml:space="preserve"> Cir. 2001) (quoting </w:t>
      </w:r>
      <w:r w:rsidRPr="0012233A">
        <w:rPr>
          <w:rFonts w:ascii="Times New Roman" w:eastAsia="Arial" w:hAnsi="Times New Roman"/>
          <w:i/>
          <w:sz w:val="26"/>
          <w:szCs w:val="26"/>
        </w:rPr>
        <w:t>United States v. DeSantiago-Flores</w:t>
      </w:r>
      <w:r>
        <w:rPr>
          <w:rFonts w:ascii="Times New Roman" w:eastAsia="Arial" w:hAnsi="Times New Roman"/>
          <w:sz w:val="26"/>
          <w:szCs w:val="26"/>
        </w:rPr>
        <w:t>, 107 F.3d 1472, 1478-79 (10</w:t>
      </w:r>
      <w:r w:rsidRPr="007701A0">
        <w:rPr>
          <w:rFonts w:ascii="Times New Roman" w:eastAsia="Arial" w:hAnsi="Times New Roman"/>
          <w:sz w:val="26"/>
          <w:szCs w:val="26"/>
          <w:vertAlign w:val="superscript"/>
        </w:rPr>
        <w:t>th</w:t>
      </w:r>
      <w:r>
        <w:rPr>
          <w:rFonts w:ascii="Times New Roman" w:eastAsia="Arial" w:hAnsi="Times New Roman"/>
          <w:sz w:val="26"/>
          <w:szCs w:val="26"/>
        </w:rPr>
        <w:t xml:space="preserve"> Cir. 1997)).</w:t>
      </w:r>
      <w:bookmarkEnd w:id="0"/>
    </w:p>
    <w:sectPr w:rsidR="00725167" w:rsidRPr="000C3F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257" w:rsidRDefault="00CB5257" w:rsidP="00CB5257">
      <w:pPr>
        <w:spacing w:after="0" w:line="240" w:lineRule="auto"/>
      </w:pPr>
      <w:r>
        <w:separator/>
      </w:r>
    </w:p>
  </w:endnote>
  <w:endnote w:type="continuationSeparator" w:id="0">
    <w:p w:rsidR="00CB5257" w:rsidRDefault="00CB5257" w:rsidP="00CB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257" w:rsidRDefault="00CB5257" w:rsidP="00CB5257">
      <w:pPr>
        <w:spacing w:after="0" w:line="240" w:lineRule="auto"/>
      </w:pPr>
      <w:r>
        <w:separator/>
      </w:r>
    </w:p>
  </w:footnote>
  <w:footnote w:type="continuationSeparator" w:id="0">
    <w:p w:rsidR="00CB5257" w:rsidRDefault="00CB5257" w:rsidP="00CB52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233A"/>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6C204A"/>
    <w:rsid w:val="00725167"/>
    <w:rsid w:val="00780FDD"/>
    <w:rsid w:val="00783A2A"/>
    <w:rsid w:val="007C4B9C"/>
    <w:rsid w:val="0080418B"/>
    <w:rsid w:val="00804614"/>
    <w:rsid w:val="0081575C"/>
    <w:rsid w:val="00841F17"/>
    <w:rsid w:val="008A442C"/>
    <w:rsid w:val="008B149D"/>
    <w:rsid w:val="008B4118"/>
    <w:rsid w:val="008C025F"/>
    <w:rsid w:val="008D77A9"/>
    <w:rsid w:val="008E0F69"/>
    <w:rsid w:val="008E221D"/>
    <w:rsid w:val="008E4BA2"/>
    <w:rsid w:val="008E7C9B"/>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2DBC"/>
    <w:rsid w:val="00B55CBA"/>
    <w:rsid w:val="00B8093D"/>
    <w:rsid w:val="00B85D99"/>
    <w:rsid w:val="00B930F5"/>
    <w:rsid w:val="00BA1F2B"/>
    <w:rsid w:val="00BD01A4"/>
    <w:rsid w:val="00BE616A"/>
    <w:rsid w:val="00BE645C"/>
    <w:rsid w:val="00C1091D"/>
    <w:rsid w:val="00C6290E"/>
    <w:rsid w:val="00C83E88"/>
    <w:rsid w:val="00CA3187"/>
    <w:rsid w:val="00CB5257"/>
    <w:rsid w:val="00CC4195"/>
    <w:rsid w:val="00CD51F7"/>
    <w:rsid w:val="00CD734E"/>
    <w:rsid w:val="00CE7DC5"/>
    <w:rsid w:val="00CF4F9A"/>
    <w:rsid w:val="00D163A7"/>
    <w:rsid w:val="00D513C4"/>
    <w:rsid w:val="00D7262F"/>
    <w:rsid w:val="00DA00D9"/>
    <w:rsid w:val="00DC18AE"/>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B5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257"/>
  </w:style>
  <w:style w:type="paragraph" w:styleId="Footer">
    <w:name w:val="footer"/>
    <w:basedOn w:val="Normal"/>
    <w:link w:val="FooterChar"/>
    <w:uiPriority w:val="99"/>
    <w:unhideWhenUsed/>
    <w:rsid w:val="00CB5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CB5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257"/>
  </w:style>
  <w:style w:type="paragraph" w:styleId="Footer">
    <w:name w:val="footer"/>
    <w:basedOn w:val="Normal"/>
    <w:link w:val="FooterChar"/>
    <w:uiPriority w:val="99"/>
    <w:unhideWhenUsed/>
    <w:rsid w:val="00CB5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2014-03-31T22:45:00Z</dcterms:created>
  <dcterms:modified xsi:type="dcterms:W3CDTF">2014-06-17T21:47:00Z</dcterms:modified>
</cp:coreProperties>
</file>