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3956A" w14:textId="77777777" w:rsidR="008412E7" w:rsidRPr="00C1796D" w:rsidRDefault="008412E7" w:rsidP="008412E7">
      <w:pPr>
        <w:spacing w:after="200" w:line="240" w:lineRule="auto"/>
        <w:jc w:val="both"/>
        <w:rPr>
          <w:rFonts w:ascii="Times New Roman" w:hAnsi="Times New Roman" w:cs="Times New Roman"/>
          <w:b/>
          <w:bCs/>
          <w:kern w:val="0"/>
          <w:sz w:val="26"/>
          <w:szCs w:val="26"/>
          <w:u w:val="single"/>
        </w:rPr>
      </w:pPr>
      <w:r w:rsidRPr="00C1796D">
        <w:rPr>
          <w:rFonts w:ascii="Times New Roman" w:hAnsi="Times New Roman" w:cs="Times New Roman"/>
          <w:b/>
          <w:bCs/>
          <w:kern w:val="0"/>
          <w:sz w:val="26"/>
          <w:szCs w:val="26"/>
          <w:u w:val="single"/>
        </w:rPr>
        <w:t>ANNOTATIONS AND COMMENTS</w:t>
      </w:r>
    </w:p>
    <w:p w14:paraId="79208F1D" w14:textId="44E1BAAF" w:rsidR="00CA368A" w:rsidRPr="00CA368A" w:rsidRDefault="00CA368A" w:rsidP="008412E7">
      <w:pPr>
        <w:spacing w:after="200" w:line="240" w:lineRule="auto"/>
        <w:jc w:val="both"/>
        <w:rPr>
          <w:rFonts w:ascii="Times New Roman" w:hAnsi="Times New Roman" w:cs="Times New Roman"/>
          <w:kern w:val="0"/>
          <w:sz w:val="26"/>
          <w:szCs w:val="26"/>
        </w:rPr>
      </w:pPr>
      <w:r w:rsidRPr="00CA368A">
        <w:rPr>
          <w:rFonts w:ascii="Times New Roman" w:hAnsi="Times New Roman" w:cs="Times New Roman"/>
          <w:kern w:val="0"/>
          <w:sz w:val="26"/>
          <w:szCs w:val="26"/>
        </w:rPr>
        <w:t>18 U.S.C. § 1201(a)(1) provides:</w:t>
      </w:r>
    </w:p>
    <w:p w14:paraId="711F5374" w14:textId="77777777" w:rsidR="00CA368A" w:rsidRPr="00CA368A" w:rsidRDefault="00CA368A" w:rsidP="00A55107">
      <w:pPr>
        <w:spacing w:after="200" w:line="240" w:lineRule="auto"/>
        <w:ind w:left="720" w:right="720"/>
        <w:jc w:val="both"/>
        <w:rPr>
          <w:rFonts w:ascii="Times New Roman" w:hAnsi="Times New Roman" w:cs="Times New Roman"/>
          <w:kern w:val="0"/>
          <w:sz w:val="26"/>
          <w:szCs w:val="26"/>
        </w:rPr>
      </w:pPr>
      <w:r w:rsidRPr="00CA368A">
        <w:rPr>
          <w:rFonts w:ascii="Times New Roman" w:hAnsi="Times New Roman" w:cs="Times New Roman"/>
          <w:kern w:val="0"/>
          <w:sz w:val="26"/>
          <w:szCs w:val="26"/>
        </w:rPr>
        <w:t>Whoever unlawfully seizes, confines, inveigles, decoys, kidnaps, abducts, or carries away and holds for ransom or reward or otherwise any person [and willfully transports such person in interstate or foreign commerce] [shall be guilty of an offense against the United States].</w:t>
      </w:r>
    </w:p>
    <w:p w14:paraId="59D17629" w14:textId="77777777" w:rsidR="00CA368A" w:rsidRPr="00CA368A" w:rsidRDefault="00CA368A" w:rsidP="008412E7">
      <w:pPr>
        <w:spacing w:after="200" w:line="240" w:lineRule="auto"/>
        <w:ind w:firstLine="720"/>
        <w:jc w:val="both"/>
        <w:rPr>
          <w:rFonts w:ascii="Times New Roman" w:hAnsi="Times New Roman" w:cs="Times New Roman"/>
          <w:kern w:val="0"/>
          <w:sz w:val="26"/>
          <w:szCs w:val="26"/>
        </w:rPr>
      </w:pPr>
      <w:r w:rsidRPr="00CA368A">
        <w:rPr>
          <w:rFonts w:ascii="Times New Roman" w:hAnsi="Times New Roman" w:cs="Times New Roman"/>
          <w:kern w:val="0"/>
          <w:sz w:val="26"/>
          <w:szCs w:val="26"/>
        </w:rPr>
        <w:t xml:space="preserve">The government does not have to prove that the kidnapping was committed for ransom or personal financial gain. </w:t>
      </w:r>
      <w:r w:rsidRPr="00CA368A">
        <w:rPr>
          <w:rFonts w:ascii="Times New Roman" w:hAnsi="Times New Roman" w:cs="Times New Roman"/>
          <w:i/>
          <w:iCs/>
          <w:kern w:val="0"/>
          <w:sz w:val="26"/>
          <w:szCs w:val="26"/>
        </w:rPr>
        <w:t>See United States v. Healy</w:t>
      </w:r>
      <w:r w:rsidRPr="00CA368A">
        <w:rPr>
          <w:rFonts w:ascii="Times New Roman" w:hAnsi="Times New Roman" w:cs="Times New Roman"/>
          <w:kern w:val="0"/>
          <w:sz w:val="26"/>
          <w:szCs w:val="26"/>
        </w:rPr>
        <w:t xml:space="preserve">, 376 U.S. 75, 82 (1964) (holding kidnapping does not have to be for a pecuniary or illegal benefit); </w:t>
      </w:r>
      <w:r w:rsidRPr="00CA368A">
        <w:rPr>
          <w:rFonts w:ascii="Times New Roman" w:hAnsi="Times New Roman" w:cs="Times New Roman"/>
          <w:i/>
          <w:iCs/>
          <w:kern w:val="0"/>
          <w:sz w:val="26"/>
          <w:szCs w:val="26"/>
        </w:rPr>
        <w:t>United States v. Lewis</w:t>
      </w:r>
      <w:r w:rsidRPr="00CA368A">
        <w:rPr>
          <w:rFonts w:ascii="Times New Roman" w:hAnsi="Times New Roman" w:cs="Times New Roman"/>
          <w:kern w:val="0"/>
          <w:sz w:val="26"/>
          <w:szCs w:val="26"/>
        </w:rPr>
        <w:t xml:space="preserve">, 115 F.3d 1531, 1536 (11th Cir. 1997) (holding kidnapping for companionship was sufficient to establish the defendant acted for a benefit); </w:t>
      </w:r>
      <w:r w:rsidRPr="00CA368A">
        <w:rPr>
          <w:rFonts w:ascii="Times New Roman" w:hAnsi="Times New Roman" w:cs="Times New Roman"/>
          <w:i/>
          <w:iCs/>
          <w:kern w:val="0"/>
          <w:sz w:val="26"/>
          <w:szCs w:val="26"/>
        </w:rPr>
        <w:t>United States v. Duncan</w:t>
      </w:r>
      <w:r w:rsidRPr="00CA368A">
        <w:rPr>
          <w:rFonts w:ascii="Times New Roman" w:hAnsi="Times New Roman" w:cs="Times New Roman"/>
          <w:kern w:val="0"/>
          <w:sz w:val="26"/>
          <w:szCs w:val="26"/>
        </w:rPr>
        <w:t>, 855 F.2d 1528, 1536 (11th Cir. 1988) (“The motivation of rape is admissible to show that the defendant kidnapped for a benefit, a required element of a § 1201 offense.”).</w:t>
      </w:r>
    </w:p>
    <w:p w14:paraId="780056D3" w14:textId="77777777" w:rsidR="00CA368A" w:rsidRPr="00CA368A" w:rsidRDefault="00CA368A" w:rsidP="008412E7">
      <w:pPr>
        <w:spacing w:after="200" w:line="240" w:lineRule="auto"/>
        <w:ind w:firstLine="720"/>
        <w:jc w:val="both"/>
        <w:rPr>
          <w:rFonts w:ascii="Times New Roman" w:hAnsi="Times New Roman" w:cs="Times New Roman"/>
          <w:kern w:val="0"/>
          <w:sz w:val="26"/>
          <w:szCs w:val="26"/>
        </w:rPr>
      </w:pPr>
      <w:r w:rsidRPr="00CA368A">
        <w:rPr>
          <w:rFonts w:ascii="Times New Roman" w:hAnsi="Times New Roman" w:cs="Times New Roman"/>
          <w:kern w:val="0"/>
          <w:sz w:val="26"/>
          <w:szCs w:val="26"/>
        </w:rPr>
        <w:t xml:space="preserve">Inveiglement or decoying someone across state lines is not in and of itself conduct proscribed by the federal kidnapping statute. “Inveiglement” becomes unlawful under the federal kidnapping statute, “when the alleged kidnapper interferes with his victim’s action, exercising control over his victim through the willingness to use forcible action should his deception fail.” </w:t>
      </w:r>
      <w:r w:rsidRPr="00CA368A">
        <w:rPr>
          <w:rFonts w:ascii="Times New Roman" w:hAnsi="Times New Roman" w:cs="Times New Roman"/>
          <w:i/>
          <w:iCs/>
          <w:kern w:val="0"/>
          <w:sz w:val="26"/>
          <w:szCs w:val="26"/>
        </w:rPr>
        <w:t>United States v. Boone</w:t>
      </w:r>
      <w:r w:rsidRPr="00CA368A">
        <w:rPr>
          <w:rFonts w:ascii="Times New Roman" w:hAnsi="Times New Roman" w:cs="Times New Roman"/>
          <w:kern w:val="0"/>
          <w:sz w:val="26"/>
          <w:szCs w:val="26"/>
        </w:rPr>
        <w:t xml:space="preserve">, 959 F.2d 1550, 1555 n.5 (11th Cir. 1992). However, the mere fact that physical force was not ultimately necessary does not take such conduct outside of the statute. </w:t>
      </w:r>
      <w:r w:rsidRPr="00CA368A">
        <w:rPr>
          <w:rFonts w:ascii="Times New Roman" w:hAnsi="Times New Roman" w:cs="Times New Roman"/>
          <w:i/>
          <w:iCs/>
          <w:kern w:val="0"/>
          <w:sz w:val="26"/>
          <w:szCs w:val="26"/>
        </w:rPr>
        <w:t>See id.</w:t>
      </w:r>
      <w:r w:rsidRPr="00CA368A">
        <w:rPr>
          <w:rFonts w:ascii="Times New Roman" w:hAnsi="Times New Roman" w:cs="Times New Roman"/>
          <w:kern w:val="0"/>
          <w:sz w:val="26"/>
          <w:szCs w:val="26"/>
        </w:rPr>
        <w:t xml:space="preserve"> at 1556.</w:t>
      </w:r>
    </w:p>
    <w:p w14:paraId="400FE04D" w14:textId="77777777" w:rsidR="00CA368A" w:rsidRPr="00CA368A" w:rsidRDefault="00CA368A" w:rsidP="008412E7">
      <w:pPr>
        <w:spacing w:after="200" w:line="240" w:lineRule="auto"/>
        <w:ind w:firstLine="720"/>
        <w:jc w:val="both"/>
        <w:rPr>
          <w:rFonts w:ascii="Times New Roman" w:hAnsi="Times New Roman" w:cs="Times New Roman"/>
          <w:kern w:val="0"/>
          <w:sz w:val="26"/>
          <w:szCs w:val="26"/>
        </w:rPr>
      </w:pPr>
      <w:r w:rsidRPr="00CA368A">
        <w:rPr>
          <w:rFonts w:ascii="Times New Roman" w:hAnsi="Times New Roman" w:cs="Times New Roman"/>
          <w:i/>
          <w:iCs/>
          <w:kern w:val="0"/>
          <w:sz w:val="26"/>
          <w:szCs w:val="26"/>
        </w:rPr>
        <w:t>See United States v. Lewis</w:t>
      </w:r>
      <w:r w:rsidRPr="00CA368A">
        <w:rPr>
          <w:rFonts w:ascii="Times New Roman" w:hAnsi="Times New Roman" w:cs="Times New Roman"/>
          <w:kern w:val="0"/>
          <w:sz w:val="26"/>
          <w:szCs w:val="26"/>
        </w:rPr>
        <w:t xml:space="preserve">, 115 F.3d 1531, 1535 (11th Cir. 1997) (setting forth elements of crime of kidnapping and transporting in interstate commerce under 18 U.S.C. § 1201): (1) “the transportation in interstate commerce (2) of an </w:t>
      </w:r>
      <w:proofErr w:type="spellStart"/>
      <w:r w:rsidRPr="00CA368A">
        <w:rPr>
          <w:rFonts w:ascii="Times New Roman" w:hAnsi="Times New Roman" w:cs="Times New Roman"/>
          <w:kern w:val="0"/>
          <w:sz w:val="26"/>
          <w:szCs w:val="26"/>
        </w:rPr>
        <w:t>unconsenting</w:t>
      </w:r>
      <w:proofErr w:type="spellEnd"/>
      <w:r w:rsidRPr="00CA368A">
        <w:rPr>
          <w:rFonts w:ascii="Times New Roman" w:hAnsi="Times New Roman" w:cs="Times New Roman"/>
          <w:kern w:val="0"/>
          <w:sz w:val="26"/>
          <w:szCs w:val="26"/>
        </w:rPr>
        <w:t xml:space="preserve"> person who is (3) held for ransom, reward, or otherwise, (4) with such acts being done knowingly and willfully.” “Knowledge of crossing state lines is not an essential element </w:t>
      </w:r>
      <w:proofErr w:type="gramStart"/>
      <w:r w:rsidRPr="00CA368A">
        <w:rPr>
          <w:rFonts w:ascii="Times New Roman" w:hAnsi="Times New Roman" w:cs="Times New Roman"/>
          <w:kern w:val="0"/>
          <w:sz w:val="26"/>
          <w:szCs w:val="26"/>
        </w:rPr>
        <w:t>. . . .The</w:t>
      </w:r>
      <w:proofErr w:type="gramEnd"/>
      <w:r w:rsidRPr="00CA368A">
        <w:rPr>
          <w:rFonts w:ascii="Times New Roman" w:hAnsi="Times New Roman" w:cs="Times New Roman"/>
          <w:kern w:val="0"/>
          <w:sz w:val="26"/>
          <w:szCs w:val="26"/>
        </w:rPr>
        <w:t xml:space="preserve"> requirement that an offender cross state lines merely furnishes a basis for the exercise of federal jurisdiction.” </w:t>
      </w:r>
      <w:proofErr w:type="gramStart"/>
      <w:r w:rsidRPr="00CA368A">
        <w:rPr>
          <w:rFonts w:ascii="Times New Roman" w:hAnsi="Times New Roman" w:cs="Times New Roman"/>
          <w:i/>
          <w:iCs/>
          <w:kern w:val="0"/>
          <w:sz w:val="26"/>
          <w:szCs w:val="26"/>
        </w:rPr>
        <w:t>Ibid.</w:t>
      </w:r>
      <w:r w:rsidRPr="00CA368A">
        <w:rPr>
          <w:rFonts w:ascii="Times New Roman" w:hAnsi="Times New Roman" w:cs="Times New Roman"/>
          <w:kern w:val="0"/>
          <w:sz w:val="26"/>
          <w:szCs w:val="26"/>
        </w:rPr>
        <w:t>;</w:t>
      </w:r>
      <w:proofErr w:type="gramEnd"/>
      <w:r w:rsidRPr="00CA368A">
        <w:rPr>
          <w:rFonts w:ascii="Times New Roman" w:hAnsi="Times New Roman" w:cs="Times New Roman"/>
          <w:kern w:val="0"/>
          <w:sz w:val="26"/>
          <w:szCs w:val="26"/>
        </w:rPr>
        <w:t xml:space="preserve"> </w:t>
      </w:r>
      <w:r w:rsidRPr="00CA368A">
        <w:rPr>
          <w:rFonts w:ascii="Times New Roman" w:hAnsi="Times New Roman" w:cs="Times New Roman"/>
          <w:i/>
          <w:iCs/>
          <w:kern w:val="0"/>
          <w:sz w:val="26"/>
          <w:szCs w:val="26"/>
        </w:rPr>
        <w:t>see also</w:t>
      </w:r>
      <w:r w:rsidRPr="00CA368A">
        <w:rPr>
          <w:rFonts w:ascii="Times New Roman" w:hAnsi="Times New Roman" w:cs="Times New Roman"/>
          <w:kern w:val="0"/>
          <w:sz w:val="26"/>
          <w:szCs w:val="26"/>
        </w:rPr>
        <w:t xml:space="preserve"> </w:t>
      </w:r>
      <w:r w:rsidRPr="00CA368A">
        <w:rPr>
          <w:rFonts w:ascii="Times New Roman" w:hAnsi="Times New Roman" w:cs="Times New Roman"/>
          <w:i/>
          <w:iCs/>
          <w:kern w:val="0"/>
          <w:sz w:val="26"/>
          <w:szCs w:val="26"/>
        </w:rPr>
        <w:t>United States v. Broadwell</w:t>
      </w:r>
      <w:r w:rsidRPr="00CA368A">
        <w:rPr>
          <w:rFonts w:ascii="Times New Roman" w:hAnsi="Times New Roman" w:cs="Times New Roman"/>
          <w:kern w:val="0"/>
          <w:sz w:val="26"/>
          <w:szCs w:val="26"/>
        </w:rPr>
        <w:t>, 870 F.2d 594, 601 n.16 (11th Cir. 1989) (recognizing that crime of kidnapping is complete upon transportation across state lines).</w:t>
      </w:r>
    </w:p>
    <w:p w14:paraId="3C1CC95B" w14:textId="77777777" w:rsidR="00CA368A" w:rsidRPr="00CA368A" w:rsidRDefault="00CA368A" w:rsidP="008412E7">
      <w:pPr>
        <w:spacing w:after="200" w:line="240" w:lineRule="auto"/>
        <w:ind w:firstLine="720"/>
        <w:jc w:val="both"/>
        <w:rPr>
          <w:rFonts w:ascii="Times New Roman" w:hAnsi="Times New Roman" w:cs="Times New Roman"/>
          <w:kern w:val="0"/>
          <w:sz w:val="26"/>
          <w:szCs w:val="26"/>
        </w:rPr>
      </w:pPr>
      <w:r w:rsidRPr="00CA368A">
        <w:rPr>
          <w:rFonts w:ascii="Times New Roman" w:hAnsi="Times New Roman" w:cs="Times New Roman"/>
          <w:kern w:val="0"/>
          <w:sz w:val="26"/>
          <w:szCs w:val="26"/>
        </w:rPr>
        <w:t xml:space="preserve">Like automobiles, airplanes, ships, boats, and trains, the Internet, telephones, cell phones, and pagers are instrumentalities of interstate or foreign commerce even when they’re used entirely intrastate. </w:t>
      </w:r>
      <w:r w:rsidRPr="00CA368A">
        <w:rPr>
          <w:rFonts w:ascii="Times New Roman" w:hAnsi="Times New Roman" w:cs="Times New Roman"/>
          <w:i/>
          <w:iCs/>
          <w:kern w:val="0"/>
          <w:sz w:val="26"/>
          <w:szCs w:val="26"/>
        </w:rPr>
        <w:t>United States v. Faris</w:t>
      </w:r>
      <w:r w:rsidRPr="00CA368A">
        <w:rPr>
          <w:rFonts w:ascii="Times New Roman" w:hAnsi="Times New Roman" w:cs="Times New Roman"/>
          <w:kern w:val="0"/>
          <w:sz w:val="26"/>
          <w:szCs w:val="26"/>
        </w:rPr>
        <w:t xml:space="preserve">, 583 F.3d 756, 759 (11th Cir. 2009) (per </w:t>
      </w:r>
      <w:proofErr w:type="spellStart"/>
      <w:r w:rsidRPr="00CA368A">
        <w:rPr>
          <w:rFonts w:ascii="Times New Roman" w:hAnsi="Times New Roman" w:cs="Times New Roman"/>
          <w:kern w:val="0"/>
          <w:sz w:val="26"/>
          <w:szCs w:val="26"/>
        </w:rPr>
        <w:t>curiam</w:t>
      </w:r>
      <w:proofErr w:type="spellEnd"/>
      <w:r w:rsidRPr="00CA368A">
        <w:rPr>
          <w:rFonts w:ascii="Times New Roman" w:hAnsi="Times New Roman" w:cs="Times New Roman"/>
          <w:kern w:val="0"/>
          <w:sz w:val="26"/>
          <w:szCs w:val="26"/>
        </w:rPr>
        <w:t xml:space="preserve">) (“Even if none of [the defendant’s] communications were routed over state lines, the internet and telephone he used to contact the undercover officer were still ‘instrumentalities of interstate commerce.’”); </w:t>
      </w:r>
      <w:r w:rsidRPr="00CA368A">
        <w:rPr>
          <w:rFonts w:ascii="Times New Roman" w:hAnsi="Times New Roman" w:cs="Times New Roman"/>
          <w:i/>
          <w:iCs/>
          <w:kern w:val="0"/>
          <w:sz w:val="26"/>
          <w:szCs w:val="26"/>
        </w:rPr>
        <w:t>United States v. Evans</w:t>
      </w:r>
      <w:r w:rsidRPr="00CA368A">
        <w:rPr>
          <w:rFonts w:ascii="Times New Roman" w:hAnsi="Times New Roman" w:cs="Times New Roman"/>
          <w:kern w:val="0"/>
          <w:sz w:val="26"/>
          <w:szCs w:val="26"/>
        </w:rPr>
        <w:t>, 476 F.3d 1176, 1180 (11th Cir. 2007) (holding that “[t]</w:t>
      </w:r>
      <w:proofErr w:type="spellStart"/>
      <w:r w:rsidRPr="00CA368A">
        <w:rPr>
          <w:rFonts w:ascii="Times New Roman" w:hAnsi="Times New Roman" w:cs="Times New Roman"/>
          <w:kern w:val="0"/>
          <w:sz w:val="26"/>
          <w:szCs w:val="26"/>
        </w:rPr>
        <w:t>elephones</w:t>
      </w:r>
      <w:proofErr w:type="spellEnd"/>
      <w:r w:rsidRPr="00CA368A">
        <w:rPr>
          <w:rFonts w:ascii="Times New Roman" w:hAnsi="Times New Roman" w:cs="Times New Roman"/>
          <w:kern w:val="0"/>
          <w:sz w:val="26"/>
          <w:szCs w:val="26"/>
        </w:rPr>
        <w:t xml:space="preserve"> and cellular telephones are instrumentalities of interstate commerce” even when they’re used to make calls not routed through an interstate system); </w:t>
      </w:r>
      <w:r w:rsidRPr="00CA368A">
        <w:rPr>
          <w:rFonts w:ascii="Times New Roman" w:hAnsi="Times New Roman" w:cs="Times New Roman"/>
          <w:i/>
          <w:iCs/>
          <w:kern w:val="0"/>
          <w:sz w:val="26"/>
          <w:szCs w:val="26"/>
        </w:rPr>
        <w:t>United States v. Ballinger</w:t>
      </w:r>
      <w:r w:rsidRPr="00CA368A">
        <w:rPr>
          <w:rFonts w:ascii="Times New Roman" w:hAnsi="Times New Roman" w:cs="Times New Roman"/>
          <w:kern w:val="0"/>
          <w:sz w:val="26"/>
          <w:szCs w:val="26"/>
        </w:rPr>
        <w:t xml:space="preserve">, 395 F.3d 1218, 1226 (11th Cir. 2005) (Marcus, J.) (“Instrumentalities of interstate commerce . . . are the people and things </w:t>
      </w:r>
      <w:r w:rsidRPr="00CA368A">
        <w:rPr>
          <w:rFonts w:ascii="Times New Roman" w:hAnsi="Times New Roman" w:cs="Times New Roman"/>
          <w:kern w:val="0"/>
          <w:sz w:val="26"/>
          <w:szCs w:val="26"/>
        </w:rPr>
        <w:lastRenderedPageBreak/>
        <w:t>themselves moving in commerce, including automobiles, airplanes, boats, and shipments of goods. Instrumentalities of commerce include, as well, pagers, telephones, and mobile phones.” (</w:t>
      </w:r>
      <w:proofErr w:type="gramStart"/>
      <w:r w:rsidRPr="00CA368A">
        <w:rPr>
          <w:rFonts w:ascii="Times New Roman" w:hAnsi="Times New Roman" w:cs="Times New Roman"/>
          <w:kern w:val="0"/>
          <w:sz w:val="26"/>
          <w:szCs w:val="26"/>
        </w:rPr>
        <w:t>cleaned</w:t>
      </w:r>
      <w:proofErr w:type="gramEnd"/>
      <w:r w:rsidRPr="00CA368A">
        <w:rPr>
          <w:rFonts w:ascii="Times New Roman" w:hAnsi="Times New Roman" w:cs="Times New Roman"/>
          <w:kern w:val="0"/>
          <w:sz w:val="26"/>
          <w:szCs w:val="26"/>
        </w:rPr>
        <w:t xml:space="preserve"> up &amp; collecting cases)); </w:t>
      </w:r>
      <w:r w:rsidRPr="00CA368A">
        <w:rPr>
          <w:rFonts w:ascii="Times New Roman" w:hAnsi="Times New Roman" w:cs="Times New Roman"/>
          <w:i/>
          <w:iCs/>
          <w:kern w:val="0"/>
          <w:sz w:val="26"/>
          <w:szCs w:val="26"/>
        </w:rPr>
        <w:t>id.</w:t>
      </w:r>
      <w:r w:rsidRPr="00CA368A">
        <w:rPr>
          <w:rFonts w:ascii="Times New Roman" w:hAnsi="Times New Roman" w:cs="Times New Roman"/>
          <w:kern w:val="0"/>
          <w:sz w:val="26"/>
          <w:szCs w:val="26"/>
        </w:rPr>
        <w:t xml:space="preserve"> at 1225–26 (explaining that the channels of interstate commerce—through which the instrumentalities move—include “railroads, navigable waters, and airspace, as well as telecommunications networks and national securities markets” (collecting cases)); </w:t>
      </w:r>
      <w:r w:rsidRPr="00CA368A">
        <w:rPr>
          <w:rFonts w:ascii="Times New Roman" w:hAnsi="Times New Roman" w:cs="Times New Roman"/>
          <w:i/>
          <w:iCs/>
          <w:kern w:val="0"/>
          <w:sz w:val="26"/>
          <w:szCs w:val="26"/>
        </w:rPr>
        <w:t>United States v. Hornaday</w:t>
      </w:r>
      <w:r w:rsidRPr="00CA368A">
        <w:rPr>
          <w:rFonts w:ascii="Times New Roman" w:hAnsi="Times New Roman" w:cs="Times New Roman"/>
          <w:kern w:val="0"/>
          <w:sz w:val="26"/>
          <w:szCs w:val="26"/>
        </w:rPr>
        <w:t xml:space="preserve">, 392 F.3d 1306, 1311 (11th Cir. 2004) (“The internet is an instrumentality of interstate commerce.”). Any fact charged in the indictment that enhances a defendant’s sentence must be found by the jury beyond a reasonable doubt, and the verdict form should be amended to show these required findings. The fact that a kidnapping “resulted in death” within the meaning of 18 U.S.C. § 1201(a) increases the minimum sentence under the statute from “any term of years” to life in prison. It also raises the maximum sentence from life imprisonment to death. That the kidnapping “resulted in death” is therefore an element of the offense that must be found by a jury beyond a reasonable doubt. </w:t>
      </w:r>
      <w:proofErr w:type="spellStart"/>
      <w:r w:rsidRPr="00CA368A">
        <w:rPr>
          <w:rFonts w:ascii="Times New Roman" w:hAnsi="Times New Roman" w:cs="Times New Roman"/>
          <w:i/>
          <w:iCs/>
          <w:kern w:val="0"/>
          <w:sz w:val="26"/>
          <w:szCs w:val="26"/>
          <w:bdr w:val="none" w:sz="0" w:space="0" w:color="auto" w:frame="1"/>
          <w14:ligatures w14:val="none"/>
        </w:rPr>
        <w:t>Apprendi</w:t>
      </w:r>
      <w:proofErr w:type="spellEnd"/>
      <w:r w:rsidRPr="00CA368A">
        <w:rPr>
          <w:rFonts w:ascii="Times New Roman" w:hAnsi="Times New Roman" w:cs="Times New Roman"/>
          <w:i/>
          <w:iCs/>
          <w:kern w:val="0"/>
          <w:sz w:val="26"/>
          <w:szCs w:val="26"/>
          <w:bdr w:val="none" w:sz="0" w:space="0" w:color="auto" w:frame="1"/>
          <w14:ligatures w14:val="none"/>
        </w:rPr>
        <w:t xml:space="preserve"> v. New Jersey</w:t>
      </w:r>
      <w:r w:rsidRPr="00CA368A">
        <w:rPr>
          <w:rFonts w:ascii="Times New Roman" w:hAnsi="Times New Roman" w:cs="Times New Roman"/>
          <w:kern w:val="0"/>
          <w:sz w:val="26"/>
          <w:szCs w:val="26"/>
          <w14:ligatures w14:val="none"/>
        </w:rPr>
        <w:t>, 530 U.S. 466, 490 (2000) (</w:t>
      </w:r>
      <w:r w:rsidRPr="00CA368A">
        <w:rPr>
          <w:rFonts w:ascii="Times New Roman" w:hAnsi="Times New Roman" w:cs="Times New Roman"/>
          <w:kern w:val="0"/>
          <w:sz w:val="26"/>
          <w:szCs w:val="26"/>
        </w:rPr>
        <w:t>“</w:t>
      </w:r>
      <w:r w:rsidRPr="00CA368A">
        <w:rPr>
          <w:rFonts w:ascii="Times New Roman" w:hAnsi="Times New Roman" w:cs="Times New Roman"/>
          <w:color w:val="000000"/>
          <w:kern w:val="0"/>
          <w:sz w:val="26"/>
          <w:szCs w:val="26"/>
          <w:shd w:val="clear" w:color="auto" w:fill="FFFFFF"/>
        </w:rPr>
        <w:t>[A]</w:t>
      </w:r>
      <w:proofErr w:type="spellStart"/>
      <w:r w:rsidRPr="00CA368A">
        <w:rPr>
          <w:rFonts w:ascii="Times New Roman" w:hAnsi="Times New Roman" w:cs="Times New Roman"/>
          <w:color w:val="000000"/>
          <w:kern w:val="0"/>
          <w:sz w:val="26"/>
          <w:szCs w:val="26"/>
          <w:shd w:val="clear" w:color="auto" w:fill="FFFFFF"/>
        </w:rPr>
        <w:t>cts</w:t>
      </w:r>
      <w:proofErr w:type="spellEnd"/>
      <w:r w:rsidRPr="00CA368A">
        <w:rPr>
          <w:rFonts w:ascii="Times New Roman" w:hAnsi="Times New Roman" w:cs="Times New Roman"/>
          <w:color w:val="000000"/>
          <w:kern w:val="0"/>
          <w:sz w:val="26"/>
          <w:szCs w:val="26"/>
          <w:shd w:val="clear" w:color="auto" w:fill="FFFFFF"/>
        </w:rPr>
        <w:t xml:space="preserve"> that increase the prescribed range of penalties to which a criminal defendant is exposed” “must be established by proof beyond a reasonable doubt.”</w:t>
      </w:r>
      <w:r w:rsidRPr="00CA368A">
        <w:rPr>
          <w:rFonts w:ascii="Times New Roman" w:hAnsi="Times New Roman" w:cs="Times New Roman"/>
          <w:kern w:val="0"/>
          <w:sz w:val="26"/>
          <w:szCs w:val="26"/>
          <w14:ligatures w14:val="none"/>
        </w:rPr>
        <w:t xml:space="preserve">); </w:t>
      </w:r>
      <w:r w:rsidRPr="00CA368A">
        <w:rPr>
          <w:rFonts w:ascii="Times New Roman" w:hAnsi="Times New Roman" w:cs="Times New Roman"/>
          <w:i/>
          <w:iCs/>
          <w:kern w:val="0"/>
          <w:sz w:val="26"/>
          <w:szCs w:val="26"/>
          <w:bdr w:val="none" w:sz="0" w:space="0" w:color="auto" w:frame="1"/>
          <w14:ligatures w14:val="none"/>
        </w:rPr>
        <w:t>Alleyne v. United States</w:t>
      </w:r>
      <w:r w:rsidRPr="00CA368A">
        <w:rPr>
          <w:rFonts w:ascii="Times New Roman" w:hAnsi="Times New Roman" w:cs="Times New Roman"/>
          <w:kern w:val="0"/>
          <w:sz w:val="26"/>
          <w:szCs w:val="26"/>
          <w14:ligatures w14:val="none"/>
        </w:rPr>
        <w:t>, 570 U.S. 99, 103 (2013) (“[A]</w:t>
      </w:r>
      <w:proofErr w:type="spellStart"/>
      <w:r w:rsidRPr="00CA368A">
        <w:rPr>
          <w:rFonts w:ascii="Times New Roman" w:hAnsi="Times New Roman" w:cs="Times New Roman"/>
          <w:kern w:val="0"/>
          <w:sz w:val="26"/>
          <w:szCs w:val="26"/>
          <w14:ligatures w14:val="none"/>
        </w:rPr>
        <w:t>ny</w:t>
      </w:r>
      <w:proofErr w:type="spellEnd"/>
      <w:r w:rsidRPr="00CA368A">
        <w:rPr>
          <w:rFonts w:ascii="Times New Roman" w:hAnsi="Times New Roman" w:cs="Times New Roman"/>
          <w:kern w:val="0"/>
          <w:sz w:val="26"/>
          <w:szCs w:val="26"/>
          <w14:ligatures w14:val="none"/>
        </w:rPr>
        <w:t xml:space="preserve"> fact that increases the mandatory minimum [sentence] is an ‘element’ that must be submitted to the jury.”). </w:t>
      </w:r>
      <w:r w:rsidRPr="00CA368A">
        <w:rPr>
          <w:rFonts w:ascii="Times New Roman" w:hAnsi="Times New Roman" w:cs="Times New Roman"/>
          <w:kern w:val="0"/>
          <w:sz w:val="26"/>
          <w:szCs w:val="26"/>
        </w:rPr>
        <w:t xml:space="preserve">If the parties </w:t>
      </w:r>
      <w:r w:rsidRPr="00CA368A">
        <w:rPr>
          <w:rFonts w:ascii="Times New Roman" w:hAnsi="Times New Roman" w:cs="Times New Roman"/>
          <w:i/>
          <w:iCs/>
          <w:kern w:val="0"/>
          <w:sz w:val="26"/>
          <w:szCs w:val="26"/>
        </w:rPr>
        <w:t>dispute</w:t>
      </w:r>
      <w:r w:rsidRPr="00CA368A">
        <w:rPr>
          <w:rFonts w:ascii="Times New Roman" w:hAnsi="Times New Roman" w:cs="Times New Roman"/>
          <w:kern w:val="0"/>
          <w:sz w:val="26"/>
          <w:szCs w:val="26"/>
        </w:rPr>
        <w:t xml:space="preserve"> whether a kidnapping “resulted in death,” the Court should consider giving a lesser included offense instruction.</w:t>
      </w:r>
    </w:p>
    <w:p w14:paraId="4D857718" w14:textId="77777777" w:rsidR="00CA368A" w:rsidRPr="00CA368A" w:rsidRDefault="00CA368A" w:rsidP="008412E7">
      <w:pPr>
        <w:spacing w:after="200" w:line="240" w:lineRule="auto"/>
        <w:ind w:firstLine="720"/>
        <w:jc w:val="both"/>
        <w:rPr>
          <w:rFonts w:ascii="Times New Roman" w:hAnsi="Times New Roman" w:cs="Times New Roman"/>
          <w:kern w:val="0"/>
          <w:sz w:val="26"/>
          <w:szCs w:val="26"/>
        </w:rPr>
      </w:pPr>
      <w:r w:rsidRPr="00CA368A">
        <w:rPr>
          <w:rFonts w:ascii="Times New Roman" w:hAnsi="Times New Roman" w:cs="Times New Roman"/>
          <w:kern w:val="0"/>
          <w:sz w:val="26"/>
          <w:szCs w:val="26"/>
        </w:rPr>
        <w:t>Although the</w:t>
      </w:r>
      <w:r w:rsidRPr="00CA368A">
        <w:rPr>
          <w:rFonts w:ascii="Times New Roman" w:hAnsi="Times New Roman" w:cs="Times New Roman"/>
          <w:kern w:val="0"/>
          <w:sz w:val="26"/>
          <w:szCs w:val="26"/>
          <w14:ligatures w14:val="none"/>
        </w:rPr>
        <w:t xml:space="preserve"> </w:t>
      </w:r>
      <w:r w:rsidRPr="00CA368A">
        <w:rPr>
          <w:rFonts w:ascii="Times New Roman" w:hAnsi="Times New Roman" w:cs="Times New Roman"/>
          <w:kern w:val="0"/>
          <w:sz w:val="26"/>
          <w:szCs w:val="26"/>
        </w:rPr>
        <w:t xml:space="preserve">“resulting in death” element must be found by a jury beyond a reasonable doubt, the Government does not need to prove beyond a reasonable doubt that the defendant </w:t>
      </w:r>
      <w:r w:rsidRPr="00CA368A">
        <w:rPr>
          <w:rFonts w:ascii="Times New Roman" w:hAnsi="Times New Roman" w:cs="Times New Roman"/>
          <w:i/>
          <w:iCs/>
          <w:kern w:val="0"/>
          <w:sz w:val="26"/>
          <w:szCs w:val="26"/>
        </w:rPr>
        <w:t xml:space="preserve">intended </w:t>
      </w:r>
      <w:r w:rsidRPr="00CA368A">
        <w:rPr>
          <w:rFonts w:ascii="Times New Roman" w:hAnsi="Times New Roman" w:cs="Times New Roman"/>
          <w:kern w:val="0"/>
          <w:sz w:val="26"/>
          <w:szCs w:val="26"/>
        </w:rPr>
        <w:t xml:space="preserve">or </w:t>
      </w:r>
      <w:r w:rsidRPr="00CA368A">
        <w:rPr>
          <w:rFonts w:ascii="Times New Roman" w:hAnsi="Times New Roman" w:cs="Times New Roman"/>
          <w:i/>
          <w:iCs/>
          <w:kern w:val="0"/>
          <w:sz w:val="26"/>
          <w:szCs w:val="26"/>
        </w:rPr>
        <w:t xml:space="preserve">knew </w:t>
      </w:r>
      <w:r w:rsidRPr="00CA368A">
        <w:rPr>
          <w:rFonts w:ascii="Times New Roman" w:hAnsi="Times New Roman" w:cs="Times New Roman"/>
          <w:kern w:val="0"/>
          <w:sz w:val="26"/>
          <w:szCs w:val="26"/>
        </w:rPr>
        <w:t xml:space="preserve">that the kidnapping would result in death. The Government need only prove that the kidnapping was a </w:t>
      </w:r>
      <w:proofErr w:type="spellStart"/>
      <w:r w:rsidRPr="00CA368A">
        <w:rPr>
          <w:rFonts w:ascii="Times New Roman" w:hAnsi="Times New Roman" w:cs="Times New Roman"/>
          <w:kern w:val="0"/>
          <w:sz w:val="26"/>
          <w:szCs w:val="26"/>
        </w:rPr>
        <w:t>but</w:t>
      </w:r>
      <w:proofErr w:type="spellEnd"/>
      <w:r w:rsidRPr="00CA368A">
        <w:rPr>
          <w:rFonts w:ascii="Times New Roman" w:hAnsi="Times New Roman" w:cs="Times New Roman"/>
          <w:kern w:val="0"/>
          <w:sz w:val="26"/>
          <w:szCs w:val="26"/>
        </w:rPr>
        <w:t xml:space="preserve">-for </w:t>
      </w:r>
      <w:r w:rsidRPr="00CA368A">
        <w:rPr>
          <w:rFonts w:ascii="Times New Roman" w:hAnsi="Times New Roman" w:cs="Times New Roman"/>
          <w:i/>
          <w:iCs/>
          <w:kern w:val="0"/>
          <w:sz w:val="26"/>
          <w:szCs w:val="26"/>
        </w:rPr>
        <w:t>cause</w:t>
      </w:r>
      <w:r w:rsidRPr="00CA368A">
        <w:rPr>
          <w:rFonts w:ascii="Times New Roman" w:hAnsi="Times New Roman" w:cs="Times New Roman"/>
          <w:kern w:val="0"/>
          <w:sz w:val="26"/>
          <w:szCs w:val="26"/>
        </w:rPr>
        <w:t xml:space="preserve"> of the death. </w:t>
      </w:r>
      <w:proofErr w:type="spellStart"/>
      <w:r w:rsidRPr="00CA368A">
        <w:rPr>
          <w:rFonts w:ascii="Times New Roman" w:hAnsi="Times New Roman" w:cs="Times New Roman"/>
          <w:i/>
          <w:iCs/>
          <w:kern w:val="0"/>
          <w:sz w:val="26"/>
          <w:szCs w:val="26"/>
        </w:rPr>
        <w:t>Burrage</w:t>
      </w:r>
      <w:proofErr w:type="spellEnd"/>
      <w:r w:rsidRPr="00CA368A">
        <w:rPr>
          <w:rFonts w:ascii="Times New Roman" w:hAnsi="Times New Roman" w:cs="Times New Roman"/>
          <w:i/>
          <w:iCs/>
          <w:kern w:val="0"/>
          <w:sz w:val="26"/>
          <w:szCs w:val="26"/>
        </w:rPr>
        <w:t xml:space="preserve"> v. United States</w:t>
      </w:r>
      <w:r w:rsidRPr="00CA368A">
        <w:rPr>
          <w:rFonts w:ascii="Times New Roman" w:hAnsi="Times New Roman" w:cs="Times New Roman"/>
          <w:kern w:val="0"/>
          <w:sz w:val="26"/>
          <w:szCs w:val="26"/>
        </w:rPr>
        <w:t>, 571 U.S. 204, 210–11 (2014) (“Because the Controlled Substances Act does not define the phrase ‘results from,’ . . . we give it its ordinary meaning</w:t>
      </w:r>
      <w:proofErr w:type="gramStart"/>
      <w:r w:rsidRPr="00CA368A">
        <w:rPr>
          <w:rFonts w:ascii="Times New Roman" w:hAnsi="Times New Roman" w:cs="Times New Roman"/>
          <w:kern w:val="0"/>
          <w:sz w:val="26"/>
          <w:szCs w:val="26"/>
        </w:rPr>
        <w:t>. . . .</w:t>
      </w:r>
      <w:proofErr w:type="gramEnd"/>
      <w:r w:rsidRPr="00CA368A">
        <w:rPr>
          <w:rFonts w:ascii="Times New Roman" w:hAnsi="Times New Roman" w:cs="Times New Roman"/>
          <w:kern w:val="0"/>
          <w:sz w:val="26"/>
          <w:szCs w:val="26"/>
        </w:rPr>
        <w:t xml:space="preserve"> [T]his requires proof that the harm would not have occurred in the absence of—that is, but for—the defendant’s conduct.” (cleaned up)); </w:t>
      </w:r>
      <w:r w:rsidRPr="00CA368A">
        <w:rPr>
          <w:rFonts w:ascii="Times New Roman" w:hAnsi="Times New Roman" w:cs="Times New Roman"/>
          <w:i/>
          <w:iCs/>
          <w:kern w:val="0"/>
          <w:sz w:val="26"/>
          <w:szCs w:val="26"/>
        </w:rPr>
        <w:t>accord</w:t>
      </w:r>
      <w:r w:rsidRPr="00CA368A">
        <w:rPr>
          <w:rFonts w:ascii="Times New Roman" w:hAnsi="Times New Roman" w:cs="Times New Roman"/>
          <w:kern w:val="0"/>
          <w:sz w:val="26"/>
          <w:szCs w:val="26"/>
        </w:rPr>
        <w:t xml:space="preserve"> </w:t>
      </w:r>
      <w:r w:rsidRPr="00CA368A">
        <w:rPr>
          <w:rFonts w:ascii="Times New Roman" w:hAnsi="Times New Roman" w:cs="Times New Roman"/>
          <w:i/>
          <w:iCs/>
          <w:kern w:val="0"/>
          <w:sz w:val="26"/>
          <w:szCs w:val="26"/>
        </w:rPr>
        <w:t>United States v. Rodriguez-Santos</w:t>
      </w:r>
      <w:r w:rsidRPr="00CA368A">
        <w:rPr>
          <w:rFonts w:ascii="Times New Roman" w:hAnsi="Times New Roman" w:cs="Times New Roman"/>
          <w:kern w:val="0"/>
          <w:sz w:val="26"/>
          <w:szCs w:val="26"/>
        </w:rPr>
        <w:t xml:space="preserve">, 56 F.4th 206, 215 (1st Cir. 2022) (holding that the “resulting in death” element of § 1201(a)(1) requires but-for causation); </w:t>
      </w:r>
      <w:r w:rsidRPr="00CA368A">
        <w:rPr>
          <w:rFonts w:ascii="Times New Roman" w:hAnsi="Times New Roman" w:cs="Times New Roman"/>
          <w:i/>
          <w:iCs/>
          <w:kern w:val="0"/>
          <w:sz w:val="26"/>
          <w:szCs w:val="26"/>
        </w:rPr>
        <w:t>United States v. Simpson</w:t>
      </w:r>
      <w:r w:rsidRPr="00CA368A">
        <w:rPr>
          <w:rFonts w:ascii="Times New Roman" w:hAnsi="Times New Roman" w:cs="Times New Roman"/>
          <w:kern w:val="0"/>
          <w:sz w:val="26"/>
          <w:szCs w:val="26"/>
        </w:rPr>
        <w:t xml:space="preserve">, 44 F.4th 1093, 1099 (8th Cir. 2022) (“The government also must prove that the kidnapping caused the victim’s death, but not that the principal intended or knew that death would result.”), </w:t>
      </w:r>
      <w:r w:rsidRPr="00CA368A">
        <w:rPr>
          <w:rFonts w:ascii="Times New Roman" w:hAnsi="Times New Roman" w:cs="Times New Roman"/>
          <w:i/>
          <w:iCs/>
          <w:kern w:val="0"/>
          <w:sz w:val="26"/>
          <w:szCs w:val="26"/>
        </w:rPr>
        <w:t>reh’g denied</w:t>
      </w:r>
      <w:r w:rsidRPr="00CA368A">
        <w:rPr>
          <w:rFonts w:ascii="Times New Roman" w:hAnsi="Times New Roman" w:cs="Times New Roman"/>
          <w:kern w:val="0"/>
          <w:sz w:val="26"/>
          <w:szCs w:val="26"/>
        </w:rPr>
        <w:t xml:space="preserve">, 2022 WL 4295416 (8th Cir. Sept. 19, 2022), </w:t>
      </w:r>
      <w:r w:rsidRPr="00CA368A">
        <w:rPr>
          <w:rFonts w:ascii="Times New Roman" w:hAnsi="Times New Roman" w:cs="Times New Roman"/>
          <w:i/>
          <w:iCs/>
          <w:kern w:val="0"/>
          <w:sz w:val="26"/>
          <w:szCs w:val="26"/>
        </w:rPr>
        <w:t>and cert. denied</w:t>
      </w:r>
      <w:r w:rsidRPr="00CA368A">
        <w:rPr>
          <w:rFonts w:ascii="Times New Roman" w:hAnsi="Times New Roman" w:cs="Times New Roman"/>
          <w:kern w:val="0"/>
          <w:sz w:val="26"/>
          <w:szCs w:val="26"/>
        </w:rPr>
        <w:t>, 143 S. Ct. 813 (2023).</w:t>
      </w:r>
    </w:p>
    <w:p w14:paraId="2F043A0B" w14:textId="6215D32A" w:rsidR="00CF47AF" w:rsidRPr="008412E7" w:rsidRDefault="00CA368A" w:rsidP="008412E7">
      <w:pPr>
        <w:spacing w:after="240" w:line="240" w:lineRule="auto"/>
        <w:ind w:firstLine="720"/>
        <w:jc w:val="both"/>
        <w:rPr>
          <w:rFonts w:ascii="Times New Roman" w:hAnsi="Times New Roman" w:cs="Times New Roman"/>
          <w:sz w:val="26"/>
          <w:szCs w:val="26"/>
        </w:rPr>
      </w:pPr>
      <w:r w:rsidRPr="00CA368A">
        <w:rPr>
          <w:rFonts w:ascii="Times New Roman" w:hAnsi="Times New Roman" w:cs="Times New Roman"/>
          <w:kern w:val="0"/>
          <w:sz w:val="26"/>
          <w:szCs w:val="26"/>
        </w:rPr>
        <w:t>Note that Section 1201 also sets out four other jurisdictional circumstances in subparts (a)(2) through (a)(5), and this instruction will need to be modified to fit those if the charge is not under subpart (a)(1).</w:t>
      </w:r>
    </w:p>
    <w:sectPr w:rsidR="00CF47AF" w:rsidRPr="008412E7" w:rsidSect="001A50B7">
      <w:footerReference w:type="defaul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9EEE5" w14:textId="77777777" w:rsidR="00C1796D" w:rsidRDefault="00C1796D">
      <w:pPr>
        <w:spacing w:after="0" w:line="240" w:lineRule="auto"/>
      </w:pPr>
      <w:r>
        <w:separator/>
      </w:r>
    </w:p>
  </w:endnote>
  <w:endnote w:type="continuationSeparator" w:id="0">
    <w:p w14:paraId="6FE44D1B" w14:textId="77777777" w:rsidR="00C1796D" w:rsidRDefault="00C17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71CD2" w14:textId="77777777" w:rsidR="00A55107" w:rsidRPr="001A50B7" w:rsidRDefault="00A55107" w:rsidP="001A50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11340" w14:textId="77777777" w:rsidR="00C1796D" w:rsidRDefault="00C1796D">
      <w:pPr>
        <w:spacing w:after="0" w:line="240" w:lineRule="auto"/>
      </w:pPr>
      <w:r>
        <w:separator/>
      </w:r>
    </w:p>
  </w:footnote>
  <w:footnote w:type="continuationSeparator" w:id="0">
    <w:p w14:paraId="39068F2F" w14:textId="77777777" w:rsidR="00C1796D" w:rsidRDefault="00C179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68A"/>
    <w:rsid w:val="002046B3"/>
    <w:rsid w:val="002319B9"/>
    <w:rsid w:val="008412E7"/>
    <w:rsid w:val="00993087"/>
    <w:rsid w:val="00A55107"/>
    <w:rsid w:val="00C1796D"/>
    <w:rsid w:val="00CA368A"/>
    <w:rsid w:val="00CF4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0927B"/>
  <w15:chartTrackingRefBased/>
  <w15:docId w15:val="{7ACF99AD-EAA8-4A91-A4A3-0B5F34ED6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CA368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A36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916</Words>
  <Characters>5225</Characters>
  <Application>Microsoft Office Word</Application>
  <DocSecurity>0</DocSecurity>
  <Lines>43</Lines>
  <Paragraphs>12</Paragraphs>
  <ScaleCrop>false</ScaleCrop>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Garner</dc:creator>
  <cp:keywords/>
  <dc:description/>
  <cp:lastModifiedBy>Susan Garner</cp:lastModifiedBy>
  <cp:revision>4</cp:revision>
  <dcterms:created xsi:type="dcterms:W3CDTF">2026-03-26T15:05:00Z</dcterms:created>
  <dcterms:modified xsi:type="dcterms:W3CDTF">2026-03-26T15:34:00Z</dcterms:modified>
</cp:coreProperties>
</file>