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628A3"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b/>
          <w:sz w:val="26"/>
          <w:szCs w:val="26"/>
          <w:u w:val="single"/>
        </w:rPr>
        <w:t>ANNOTATIONS AND COMMENTS</w:t>
      </w:r>
    </w:p>
    <w:p w14:paraId="34B32414"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18 U.S.C. § 1341 provides:</w:t>
      </w:r>
    </w:p>
    <w:p w14:paraId="48B6F14F" w14:textId="77777777" w:rsidR="00704FB8" w:rsidRPr="00704FB8" w:rsidRDefault="00704FB8" w:rsidP="00A215EF">
      <w:pPr>
        <w:spacing w:line="240" w:lineRule="auto"/>
        <w:ind w:left="360" w:right="360" w:firstLine="360"/>
        <w:jc w:val="both"/>
        <w:rPr>
          <w:rFonts w:eastAsia="Arial" w:cs="Times New Roman"/>
          <w:sz w:val="26"/>
          <w:szCs w:val="26"/>
        </w:rPr>
      </w:pPr>
      <w:r w:rsidRPr="00704FB8">
        <w:rPr>
          <w:rFonts w:eastAsia="Arial" w:cs="Times New Roman"/>
          <w:sz w:val="26"/>
          <w:szCs w:val="26"/>
        </w:rPr>
        <w:t>Whoever, having devised or intending to devise any scheme or artifice to defraud, or for obtaining money or property by means of false or fraudulent pretenses, representations, or promises,… for the purpose of executing such scheme or artifice or attempting so to do, places in any post office or authorized depository for mail matter, any matter or thing whatever to be sent or delivered by the Postal Service [by any private or commercial interstate carrier] [shall be guilty of an offense against the laws of the United States].</w:t>
      </w:r>
    </w:p>
    <w:p w14:paraId="12037D3E"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Maximum Penalty: Twenty </w:t>
      </w:r>
      <w:r w:rsidRPr="00704FB8">
        <w:rPr>
          <w:rFonts w:eastAsia="Arial" w:cs="Times New Roman"/>
          <w:sz w:val="26"/>
          <w:szCs w:val="26"/>
        </w:rPr>
        <w:fldChar w:fldCharType="begin"/>
      </w:r>
      <w:r w:rsidRPr="00704FB8">
        <w:rPr>
          <w:rFonts w:eastAsia="Arial" w:cs="Times New Roman"/>
          <w:sz w:val="26"/>
          <w:szCs w:val="26"/>
        </w:rPr>
        <w:instrText xml:space="preserve"> LISTNUM  NumberDefault \l 4 \s 20 </w:instrText>
      </w:r>
      <w:r w:rsidRPr="00704FB8">
        <w:rPr>
          <w:rFonts w:eastAsia="Arial" w:cs="Times New Roman"/>
          <w:sz w:val="26"/>
          <w:szCs w:val="26"/>
        </w:rPr>
        <w:fldChar w:fldCharType="end"/>
      </w:r>
      <w:r w:rsidRPr="00704FB8">
        <w:rPr>
          <w:rFonts w:eastAsia="Arial" w:cs="Times New Roman"/>
          <w:sz w:val="26"/>
          <w:szCs w:val="26"/>
        </w:rPr>
        <w:t xml:space="preserve"> years’ imprisonment and applicable fine. (If the violation affects a financial </w:t>
      </w:r>
      <w:proofErr w:type="gramStart"/>
      <w:r w:rsidRPr="00704FB8">
        <w:rPr>
          <w:rFonts w:eastAsia="Arial" w:cs="Times New Roman"/>
          <w:sz w:val="26"/>
          <w:szCs w:val="26"/>
        </w:rPr>
        <w:t>institution, or</w:t>
      </w:r>
      <w:proofErr w:type="gramEnd"/>
      <w:r w:rsidRPr="00704FB8">
        <w:rPr>
          <w:rFonts w:eastAsia="Arial" w:cs="Times New Roman"/>
          <w:sz w:val="26"/>
          <w:szCs w:val="26"/>
        </w:rPr>
        <w:t xml:space="preserve"> is in relation to or in connection with a presidentially declared major disaster or emergency, thirty </w:t>
      </w:r>
      <w:r w:rsidRPr="00704FB8">
        <w:rPr>
          <w:rFonts w:eastAsia="Arial" w:cs="Times New Roman"/>
          <w:sz w:val="26"/>
          <w:szCs w:val="26"/>
        </w:rPr>
        <w:fldChar w:fldCharType="begin"/>
      </w:r>
      <w:r w:rsidRPr="00704FB8">
        <w:rPr>
          <w:rFonts w:eastAsia="Arial" w:cs="Times New Roman"/>
          <w:sz w:val="26"/>
          <w:szCs w:val="26"/>
        </w:rPr>
        <w:instrText xml:space="preserve"> LISTNUM  NumberDefault \l 4 \s 30 </w:instrText>
      </w:r>
      <w:r w:rsidRPr="00704FB8">
        <w:rPr>
          <w:rFonts w:eastAsia="Arial" w:cs="Times New Roman"/>
          <w:sz w:val="26"/>
          <w:szCs w:val="26"/>
        </w:rPr>
        <w:fldChar w:fldCharType="end"/>
      </w:r>
      <w:r w:rsidRPr="00704FB8">
        <w:rPr>
          <w:rFonts w:eastAsia="Arial" w:cs="Times New Roman"/>
          <w:sz w:val="26"/>
          <w:szCs w:val="26"/>
        </w:rPr>
        <w:t xml:space="preserve"> years’ imprisonment and $1 million fine).</w:t>
      </w:r>
    </w:p>
    <w:p w14:paraId="308ABF42"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If the offense involved telemarketing, 18 U.S.C. § 2326 requires enhanced imprisonment penalties:</w:t>
      </w:r>
    </w:p>
    <w:p w14:paraId="6038FA8B" w14:textId="77777777" w:rsidR="00704FB8" w:rsidRPr="00704FB8" w:rsidRDefault="00704FB8" w:rsidP="00A215EF">
      <w:pPr>
        <w:spacing w:line="240" w:lineRule="auto"/>
        <w:ind w:left="360" w:right="360" w:firstLine="360"/>
        <w:jc w:val="both"/>
        <w:rPr>
          <w:rFonts w:eastAsia="Arial" w:cs="Times New Roman"/>
          <w:sz w:val="26"/>
          <w:szCs w:val="26"/>
        </w:rPr>
      </w:pPr>
      <w:r w:rsidRPr="00704FB8">
        <w:rPr>
          <w:rFonts w:eastAsia="Arial" w:cs="Times New Roman"/>
          <w:sz w:val="26"/>
          <w:szCs w:val="26"/>
        </w:rPr>
        <w:t>A person who is convicted of an offense under section 1028, 1029, 1341, 1342, 1343, or 1344, or a conspiracy to commit such an offense, in connection with the conduct of telemarketing - -</w:t>
      </w:r>
    </w:p>
    <w:p w14:paraId="1C2A15E1" w14:textId="77777777" w:rsidR="00704FB8" w:rsidRPr="00704FB8" w:rsidRDefault="00704FB8" w:rsidP="00A215EF">
      <w:pPr>
        <w:spacing w:line="240" w:lineRule="auto"/>
        <w:ind w:left="720" w:right="720" w:firstLine="360"/>
        <w:jc w:val="both"/>
        <w:rPr>
          <w:rFonts w:eastAsia="Arial" w:cs="Times New Roman"/>
          <w:sz w:val="26"/>
          <w:szCs w:val="26"/>
        </w:rPr>
      </w:pPr>
      <w:r w:rsidRPr="00704FB8">
        <w:rPr>
          <w:rFonts w:eastAsia="Arial" w:cs="Times New Roman"/>
          <w:sz w:val="26"/>
          <w:szCs w:val="26"/>
        </w:rPr>
        <w:fldChar w:fldCharType="begin"/>
      </w:r>
      <w:r w:rsidRPr="00704FB8">
        <w:rPr>
          <w:rFonts w:eastAsia="Arial" w:cs="Times New Roman"/>
          <w:sz w:val="26"/>
          <w:szCs w:val="26"/>
        </w:rPr>
        <w:instrText xml:space="preserve"> LISTNUM  NumberDefault \l 4 \s 1 </w:instrText>
      </w:r>
      <w:r w:rsidRPr="00704FB8">
        <w:rPr>
          <w:rFonts w:eastAsia="Arial" w:cs="Times New Roman"/>
          <w:sz w:val="26"/>
          <w:szCs w:val="26"/>
        </w:rPr>
        <w:fldChar w:fldCharType="end"/>
      </w:r>
      <w:r w:rsidRPr="00704FB8">
        <w:rPr>
          <w:rFonts w:eastAsia="Arial" w:cs="Times New Roman"/>
          <w:sz w:val="26"/>
          <w:szCs w:val="26"/>
        </w:rPr>
        <w:t xml:space="preserve"> shall be imprisoned for a term of up to 5 years in addition to any term of imprisonment imposed under any of those sections, respectively; and</w:t>
      </w:r>
    </w:p>
    <w:p w14:paraId="39901DF2" w14:textId="77777777" w:rsidR="00704FB8" w:rsidRPr="00704FB8" w:rsidRDefault="00704FB8" w:rsidP="00A215EF">
      <w:pPr>
        <w:spacing w:line="240" w:lineRule="auto"/>
        <w:ind w:left="720" w:right="720" w:firstLine="360"/>
        <w:jc w:val="both"/>
        <w:rPr>
          <w:rFonts w:eastAsia="Arial" w:cs="Times New Roman"/>
          <w:sz w:val="26"/>
          <w:szCs w:val="26"/>
        </w:rPr>
      </w:pPr>
      <w:r w:rsidRPr="00704FB8">
        <w:rPr>
          <w:rFonts w:eastAsia="Arial" w:cs="Times New Roman"/>
          <w:sz w:val="26"/>
          <w:szCs w:val="26"/>
        </w:rPr>
        <w:fldChar w:fldCharType="begin"/>
      </w:r>
      <w:r w:rsidRPr="00704FB8">
        <w:rPr>
          <w:rFonts w:eastAsia="Arial" w:cs="Times New Roman"/>
          <w:sz w:val="26"/>
          <w:szCs w:val="26"/>
        </w:rPr>
        <w:instrText xml:space="preserve"> LISTNUM  NumberDefault \l 4 \s 2 </w:instrText>
      </w:r>
      <w:r w:rsidRPr="00704FB8">
        <w:rPr>
          <w:rFonts w:eastAsia="Arial" w:cs="Times New Roman"/>
          <w:sz w:val="26"/>
          <w:szCs w:val="26"/>
        </w:rPr>
        <w:fldChar w:fldCharType="end"/>
      </w:r>
      <w:r w:rsidRPr="00704FB8">
        <w:rPr>
          <w:rFonts w:eastAsia="Arial" w:cs="Times New Roman"/>
          <w:sz w:val="26"/>
          <w:szCs w:val="26"/>
        </w:rPr>
        <w:t xml:space="preserve"> in the case of an offense under any of those sections that - -</w:t>
      </w:r>
    </w:p>
    <w:p w14:paraId="7E94A62A" w14:textId="77777777" w:rsidR="00704FB8" w:rsidRPr="00704FB8" w:rsidRDefault="00704FB8" w:rsidP="00A215EF">
      <w:pPr>
        <w:spacing w:line="240" w:lineRule="auto"/>
        <w:ind w:left="1080" w:right="1080" w:firstLine="360"/>
        <w:jc w:val="both"/>
        <w:rPr>
          <w:rFonts w:eastAsia="Arial" w:cs="Times New Roman"/>
          <w:sz w:val="26"/>
          <w:szCs w:val="26"/>
        </w:rPr>
      </w:pPr>
      <w:r w:rsidRPr="00704FB8">
        <w:rPr>
          <w:rFonts w:eastAsia="Arial" w:cs="Times New Roman"/>
          <w:sz w:val="26"/>
          <w:szCs w:val="26"/>
        </w:rPr>
        <w:t>(A) victimized ten or more persons over the age of 55; or</w:t>
      </w:r>
    </w:p>
    <w:p w14:paraId="48F75C14" w14:textId="77777777" w:rsidR="00704FB8" w:rsidRPr="00704FB8" w:rsidRDefault="00704FB8" w:rsidP="00A215EF">
      <w:pPr>
        <w:spacing w:line="240" w:lineRule="auto"/>
        <w:ind w:left="1080" w:right="1080" w:firstLine="360"/>
        <w:jc w:val="both"/>
        <w:rPr>
          <w:rFonts w:eastAsia="Arial" w:cs="Times New Roman"/>
          <w:sz w:val="26"/>
          <w:szCs w:val="26"/>
        </w:rPr>
      </w:pPr>
      <w:r w:rsidRPr="00704FB8">
        <w:rPr>
          <w:rFonts w:eastAsia="Arial" w:cs="Times New Roman"/>
          <w:sz w:val="26"/>
          <w:szCs w:val="26"/>
        </w:rPr>
        <w:t>(B) targeted persons over the age of 55,</w:t>
      </w:r>
    </w:p>
    <w:p w14:paraId="5A482AA8" w14:textId="77777777" w:rsidR="00704FB8" w:rsidRPr="00704FB8" w:rsidRDefault="00704FB8" w:rsidP="00A215EF">
      <w:pPr>
        <w:spacing w:line="240" w:lineRule="auto"/>
        <w:ind w:left="360" w:right="360"/>
        <w:jc w:val="both"/>
        <w:rPr>
          <w:rFonts w:eastAsia="Arial" w:cs="Times New Roman"/>
          <w:sz w:val="26"/>
          <w:szCs w:val="26"/>
        </w:rPr>
      </w:pPr>
      <w:r w:rsidRPr="00704FB8">
        <w:rPr>
          <w:rFonts w:eastAsia="Arial" w:cs="Times New Roman"/>
          <w:sz w:val="26"/>
          <w:szCs w:val="26"/>
        </w:rPr>
        <w:t>shall be imprisoned for a term of up to 10 years in addition to any term of imprisonment imposed under any of those sections, respectively.</w:t>
      </w:r>
    </w:p>
    <w:p w14:paraId="1DE3754C"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An additional element is required under the </w:t>
      </w:r>
      <w:r w:rsidRPr="00704FB8">
        <w:rPr>
          <w:rFonts w:eastAsia="Arial" w:cs="Times New Roman"/>
          <w:i/>
          <w:sz w:val="26"/>
          <w:szCs w:val="26"/>
        </w:rPr>
        <w:t>Apprendi</w:t>
      </w:r>
      <w:r w:rsidRPr="00704FB8">
        <w:rPr>
          <w:rFonts w:eastAsia="Arial" w:cs="Times New Roman"/>
          <w:sz w:val="26"/>
          <w:szCs w:val="26"/>
        </w:rPr>
        <w:t xml:space="preserve"> doctrine when the indictment alleges any facts that would result in enhanced penalties under 18 U.S.C. § 1341 or § 2326. If the alleged offense involved telemarketing, or involved telemarketing and victimized 10 or more persons over age 55 or targeted persons over age 55, or the scheme affected a financial institution, or is in relation to or in connection with a presidentially declared major disaster or emergency, the Court should consider including a fourth element for that part of the offense and giving a lesser included offense instruction for just the Section 1341 offense. Alternatively, an instruction (to be used with a special interrogatory on the verdict form) can address those statutory variations of the scheme:</w:t>
      </w:r>
    </w:p>
    <w:p w14:paraId="7EEEA2AA" w14:textId="5DF10E30" w:rsidR="00704FB8" w:rsidRPr="00704FB8" w:rsidRDefault="00704FB8" w:rsidP="00A215EF">
      <w:pPr>
        <w:spacing w:line="240" w:lineRule="auto"/>
        <w:ind w:left="1440" w:right="1440"/>
        <w:jc w:val="both"/>
        <w:rPr>
          <w:rFonts w:eastAsia="Arial" w:cs="Times New Roman"/>
          <w:sz w:val="26"/>
          <w:szCs w:val="26"/>
        </w:rPr>
      </w:pPr>
      <w:r w:rsidRPr="00704FB8">
        <w:rPr>
          <w:rFonts w:eastAsia="Arial" w:cs="Times New Roman"/>
          <w:sz w:val="26"/>
          <w:szCs w:val="26"/>
        </w:rPr>
        <w:t xml:space="preserve">If you find beyond a reasonable doubt that the Defendant is guilty of using the mail in carrying out a scheme to defraud, </w:t>
      </w:r>
      <w:r w:rsidRPr="00704FB8">
        <w:rPr>
          <w:rFonts w:eastAsia="Arial" w:cs="Times New Roman"/>
          <w:sz w:val="26"/>
          <w:szCs w:val="26"/>
        </w:rPr>
        <w:lastRenderedPageBreak/>
        <w:t xml:space="preserve">then you must also determine whether the Government has proven beyond a reasonable doubt that [the scheme was in connection with the conduct of telemarketing and </w:t>
      </w:r>
      <w:r w:rsidRPr="00704FB8">
        <w:rPr>
          <w:rFonts w:eastAsia="Arial" w:cs="Times New Roman"/>
          <w:sz w:val="26"/>
          <w:szCs w:val="26"/>
        </w:rPr>
        <w:fldChar w:fldCharType="begin"/>
      </w:r>
      <w:r w:rsidRPr="00704FB8">
        <w:rPr>
          <w:rFonts w:eastAsia="Arial" w:cs="Times New Roman"/>
          <w:sz w:val="26"/>
          <w:szCs w:val="26"/>
        </w:rPr>
        <w:instrText xml:space="preserve"> LISTNUM  NumberDefault \l 5 \s 1 </w:instrText>
      </w:r>
      <w:r w:rsidRPr="00704FB8">
        <w:rPr>
          <w:rFonts w:eastAsia="Arial" w:cs="Times New Roman"/>
          <w:sz w:val="26"/>
          <w:szCs w:val="26"/>
        </w:rPr>
        <w:fldChar w:fldCharType="end"/>
      </w:r>
      <w:r w:rsidRPr="00704FB8">
        <w:rPr>
          <w:rFonts w:eastAsia="Arial" w:cs="Times New Roman"/>
          <w:sz w:val="26"/>
          <w:szCs w:val="26"/>
        </w:rPr>
        <w:t xml:space="preserve"> victimized ten or more persons over the age of 55, or </w:t>
      </w:r>
      <w:r w:rsidRPr="00704FB8">
        <w:rPr>
          <w:rFonts w:eastAsia="Arial" w:cs="Times New Roman"/>
          <w:sz w:val="26"/>
          <w:szCs w:val="26"/>
        </w:rPr>
        <w:fldChar w:fldCharType="begin"/>
      </w:r>
      <w:r w:rsidRPr="00704FB8">
        <w:rPr>
          <w:rFonts w:eastAsia="Arial" w:cs="Times New Roman"/>
          <w:sz w:val="26"/>
          <w:szCs w:val="26"/>
        </w:rPr>
        <w:instrText xml:space="preserve"> LISTNUM  NumberDefault \l 5 \s 2 </w:instrText>
      </w:r>
      <w:r w:rsidRPr="00704FB8">
        <w:rPr>
          <w:rFonts w:eastAsia="Arial" w:cs="Times New Roman"/>
          <w:sz w:val="26"/>
          <w:szCs w:val="26"/>
        </w:rPr>
        <w:fldChar w:fldCharType="end"/>
      </w:r>
      <w:r w:rsidRPr="00704FB8">
        <w:rPr>
          <w:rFonts w:eastAsia="Arial" w:cs="Times New Roman"/>
          <w:sz w:val="26"/>
          <w:szCs w:val="26"/>
        </w:rPr>
        <w:t xml:space="preserve"> targeted persons over the age of 55] [the scheme affected a financial institution] [the scheme was in relation to, or in connection with, a presidentially declared major disaster or emergency].</w:t>
      </w:r>
    </w:p>
    <w:p w14:paraId="23E34953" w14:textId="77777777" w:rsidR="00704FB8" w:rsidRPr="00704FB8" w:rsidRDefault="00704FB8" w:rsidP="00A215EF">
      <w:pPr>
        <w:widowControl w:val="0"/>
        <w:tabs>
          <w:tab w:val="left" w:pos="2700"/>
        </w:tabs>
        <w:autoSpaceDE w:val="0"/>
        <w:autoSpaceDN w:val="0"/>
        <w:spacing w:line="240" w:lineRule="auto"/>
        <w:jc w:val="both"/>
        <w:rPr>
          <w:rFonts w:eastAsia="Times New Roman" w:cs="Times New Roman"/>
          <w:sz w:val="26"/>
          <w:szCs w:val="26"/>
        </w:rPr>
      </w:pPr>
      <w:r w:rsidRPr="00704FB8">
        <w:rPr>
          <w:rFonts w:eastAsia="Times New Roman" w:cs="Times New Roman"/>
          <w:sz w:val="26"/>
          <w:szCs w:val="26"/>
        </w:rPr>
        <w:t xml:space="preserve">The instruction makes clear that deception alone does not constitute a scheme to defraud; a defendant must intend to cause injury or loss.  </w:t>
      </w:r>
      <w:r w:rsidRPr="00704FB8">
        <w:rPr>
          <w:rFonts w:eastAsia="Times New Roman" w:cs="Times New Roman"/>
          <w:i/>
          <w:sz w:val="26"/>
          <w:szCs w:val="26"/>
        </w:rPr>
        <w:t>See United States v. Takhalov</w:t>
      </w:r>
      <w:r w:rsidRPr="00704FB8">
        <w:rPr>
          <w:rFonts w:eastAsia="Times New Roman" w:cs="Times New Roman"/>
          <w:sz w:val="26"/>
          <w:szCs w:val="26"/>
        </w:rPr>
        <w:t xml:space="preserve">, 827 F.3d 1307, 1315 (11th Cir. 2016), altered in part on denial of rehearing by </w:t>
      </w:r>
      <w:r w:rsidRPr="00704FB8">
        <w:rPr>
          <w:rFonts w:eastAsia="Times New Roman" w:cs="Times New Roman"/>
          <w:i/>
          <w:sz w:val="26"/>
          <w:szCs w:val="26"/>
        </w:rPr>
        <w:t>United States v. Takhalov</w:t>
      </w:r>
      <w:r w:rsidRPr="00704FB8">
        <w:rPr>
          <w:rFonts w:eastAsia="Times New Roman" w:cs="Times New Roman"/>
          <w:sz w:val="26"/>
          <w:szCs w:val="26"/>
        </w:rPr>
        <w:t>, 838 F.3d 1168 (11th Cir. 2016) (“A jury cannot convict a defendant of wire fraud, then, based on misrepresentations amounting only to a deceit.” (internal quotation marks and citation omitted)).</w:t>
      </w:r>
    </w:p>
    <w:p w14:paraId="1FCC3A6C"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The 1994 amendment to Section 1341 now also applies it to the use of “any private or commercial interstate carrier.” Where such private carriers are involved, the statute requires the government to prove only that the carrier engages in interstate deliveries and not that state lines were crossed. </w:t>
      </w:r>
      <w:r w:rsidRPr="00704FB8">
        <w:rPr>
          <w:rFonts w:eastAsia="Arial" w:cs="Times New Roman"/>
          <w:i/>
          <w:sz w:val="26"/>
          <w:szCs w:val="26"/>
        </w:rPr>
        <w:t>See United States v. Marek</w:t>
      </w:r>
      <w:r w:rsidRPr="00704FB8">
        <w:rPr>
          <w:rFonts w:eastAsia="Arial" w:cs="Times New Roman"/>
          <w:sz w:val="26"/>
          <w:szCs w:val="26"/>
        </w:rPr>
        <w:t xml:space="preserve">, 238 F.3d 310, 318 (5th Cir.) </w:t>
      </w:r>
      <w:r w:rsidRPr="00704FB8">
        <w:rPr>
          <w:rFonts w:eastAsia="Arial" w:cs="Times New Roman"/>
          <w:i/>
          <w:sz w:val="26"/>
          <w:szCs w:val="26"/>
        </w:rPr>
        <w:t>cert. denied</w:t>
      </w:r>
      <w:r w:rsidRPr="00704FB8">
        <w:rPr>
          <w:rFonts w:eastAsia="Arial" w:cs="Times New Roman"/>
          <w:sz w:val="26"/>
          <w:szCs w:val="26"/>
        </w:rPr>
        <w:t xml:space="preserve"> 534 U.S. 813, 122 S. Ct. 37, 151 L. Ed. 2d 11 (2001).</w:t>
      </w:r>
    </w:p>
    <w:p w14:paraId="4388AE57"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Mail fraud requires a showing of “</w:t>
      </w:r>
      <w:r w:rsidRPr="00704FB8">
        <w:rPr>
          <w:rFonts w:eastAsia="Arial" w:cs="Times New Roman"/>
          <w:sz w:val="26"/>
          <w:szCs w:val="26"/>
        </w:rPr>
        <w:fldChar w:fldCharType="begin"/>
      </w:r>
      <w:r w:rsidRPr="00704FB8">
        <w:rPr>
          <w:rFonts w:eastAsia="Arial" w:cs="Times New Roman"/>
          <w:sz w:val="26"/>
          <w:szCs w:val="26"/>
        </w:rPr>
        <w:instrText xml:space="preserve"> LISTNUM  NumberDefault \l 4 \s 1 </w:instrText>
      </w:r>
      <w:r w:rsidRPr="00704FB8">
        <w:rPr>
          <w:rFonts w:eastAsia="Arial" w:cs="Times New Roman"/>
          <w:sz w:val="26"/>
          <w:szCs w:val="26"/>
        </w:rPr>
        <w:fldChar w:fldCharType="end"/>
      </w:r>
      <w:r w:rsidRPr="00704FB8">
        <w:rPr>
          <w:rFonts w:eastAsia="Arial" w:cs="Times New Roman"/>
          <w:sz w:val="26"/>
          <w:szCs w:val="26"/>
        </w:rPr>
        <w:t xml:space="preserve"> knowing participation in a scheme to defraud and </w:t>
      </w:r>
      <w:r w:rsidRPr="00704FB8">
        <w:rPr>
          <w:rFonts w:eastAsia="Arial" w:cs="Times New Roman"/>
          <w:sz w:val="26"/>
          <w:szCs w:val="26"/>
        </w:rPr>
        <w:fldChar w:fldCharType="begin"/>
      </w:r>
      <w:r w:rsidRPr="00704FB8">
        <w:rPr>
          <w:rFonts w:eastAsia="Arial" w:cs="Times New Roman"/>
          <w:sz w:val="26"/>
          <w:szCs w:val="26"/>
        </w:rPr>
        <w:instrText xml:space="preserve"> LISTNUM  NumberDefault \l 4 \s 2 </w:instrText>
      </w:r>
      <w:r w:rsidRPr="00704FB8">
        <w:rPr>
          <w:rFonts w:eastAsia="Arial" w:cs="Times New Roman"/>
          <w:sz w:val="26"/>
          <w:szCs w:val="26"/>
        </w:rPr>
        <w:fldChar w:fldCharType="end"/>
      </w:r>
      <w:r w:rsidRPr="00704FB8">
        <w:rPr>
          <w:rFonts w:eastAsia="Arial" w:cs="Times New Roman"/>
          <w:sz w:val="26"/>
          <w:szCs w:val="26"/>
        </w:rPr>
        <w:t xml:space="preserve"> a mailing in furtherance of the scheme.” </w:t>
      </w:r>
      <w:r w:rsidRPr="00704FB8">
        <w:rPr>
          <w:rFonts w:eastAsia="Arial" w:cs="Times New Roman"/>
          <w:i/>
          <w:sz w:val="26"/>
          <w:szCs w:val="26"/>
        </w:rPr>
        <w:t>United States v. Photogrammetric Data</w:t>
      </w:r>
      <w:r w:rsidRPr="00704FB8">
        <w:rPr>
          <w:rFonts w:eastAsia="Arial" w:cs="Times New Roman"/>
          <w:b/>
          <w:i/>
          <w:sz w:val="26"/>
          <w:szCs w:val="26"/>
        </w:rPr>
        <w:t xml:space="preserve"> </w:t>
      </w:r>
      <w:r w:rsidRPr="00704FB8">
        <w:rPr>
          <w:rFonts w:eastAsia="Arial" w:cs="Times New Roman"/>
          <w:i/>
          <w:sz w:val="26"/>
          <w:szCs w:val="26"/>
        </w:rPr>
        <w:t>Svcs., Inc.</w:t>
      </w:r>
      <w:r w:rsidRPr="00704FB8">
        <w:rPr>
          <w:rFonts w:eastAsia="Arial" w:cs="Times New Roman"/>
          <w:sz w:val="26"/>
          <w:szCs w:val="26"/>
        </w:rPr>
        <w:t xml:space="preserve">, 259 F.3d 229, 253 (4th Cir. 2001). The mailing, however, need only “be incident to an essential part of the scheme or a step in the plot,” and does not have to be an essential element of the scheme to be part of the execution of the fraud. </w:t>
      </w:r>
      <w:r w:rsidRPr="00704FB8">
        <w:rPr>
          <w:rFonts w:eastAsia="Arial" w:cs="Times New Roman"/>
          <w:i/>
          <w:sz w:val="26"/>
          <w:szCs w:val="26"/>
        </w:rPr>
        <w:t>Schmuck v. United States</w:t>
      </w:r>
      <w:r w:rsidRPr="00704FB8">
        <w:rPr>
          <w:rFonts w:eastAsia="Arial" w:cs="Times New Roman"/>
          <w:sz w:val="26"/>
          <w:szCs w:val="26"/>
        </w:rPr>
        <w:t>, 489 U.S. 705, 710-11, 109 S. Ct. 1443, 103 L. Ed. 2d 734 (1989).</w:t>
      </w:r>
    </w:p>
    <w:p w14:paraId="0AF587FD"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Materiality is an essential element of the crimes of mail fraud, wire fraud, and bank fraud, and must be decided by the jury. </w:t>
      </w:r>
      <w:r w:rsidRPr="00704FB8">
        <w:rPr>
          <w:rFonts w:eastAsia="Arial" w:cs="Times New Roman"/>
          <w:i/>
          <w:sz w:val="26"/>
          <w:szCs w:val="26"/>
        </w:rPr>
        <w:t>Neder v. United States</w:t>
      </w:r>
      <w:r w:rsidRPr="00704FB8">
        <w:rPr>
          <w:rFonts w:eastAsia="Arial" w:cs="Times New Roman"/>
          <w:sz w:val="26"/>
          <w:szCs w:val="26"/>
        </w:rPr>
        <w:t xml:space="preserve">, 527 U.S. 1, 25, 119 S. Ct. 1827, 144 L. Ed. 2d 35 (1999). The definition of materiality used here comes from that decision and the Eleventh Circuit’s decision in the case upon remand. </w:t>
      </w:r>
      <w:r w:rsidRPr="00704FB8">
        <w:rPr>
          <w:rFonts w:eastAsia="Arial" w:cs="Times New Roman"/>
          <w:i/>
          <w:sz w:val="26"/>
          <w:szCs w:val="26"/>
        </w:rPr>
        <w:t>United States v. Neder</w:t>
      </w:r>
      <w:r w:rsidRPr="00704FB8">
        <w:rPr>
          <w:rFonts w:eastAsia="Arial" w:cs="Times New Roman"/>
          <w:sz w:val="26"/>
          <w:szCs w:val="26"/>
        </w:rPr>
        <w:t xml:space="preserve">, 197 F.3d 1122, 1128-29 (11th Cir. 1999), </w:t>
      </w:r>
      <w:r w:rsidRPr="00704FB8">
        <w:rPr>
          <w:rFonts w:eastAsia="Arial" w:cs="Times New Roman"/>
          <w:i/>
          <w:sz w:val="26"/>
          <w:szCs w:val="26"/>
        </w:rPr>
        <w:t>cert. denied</w:t>
      </w:r>
      <w:r w:rsidRPr="00704FB8">
        <w:rPr>
          <w:rFonts w:eastAsia="Arial" w:cs="Times New Roman"/>
          <w:sz w:val="26"/>
          <w:szCs w:val="26"/>
        </w:rPr>
        <w:t>, 530 U.S. 1261, 120 S. Ct. 2727, 147 L. Ed. 2d 982 (2000).</w:t>
      </w:r>
    </w:p>
    <w:p w14:paraId="1786B7EB"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In mail fraud cases involving property rights, “the Government must establish that the defendant intended to defraud a victim of money or property of some value.” </w:t>
      </w:r>
      <w:r w:rsidRPr="00704FB8">
        <w:rPr>
          <w:rFonts w:eastAsia="Arial" w:cs="Times New Roman"/>
          <w:i/>
          <w:sz w:val="26"/>
          <w:szCs w:val="26"/>
        </w:rPr>
        <w:t>United States v. Cooper</w:t>
      </w:r>
      <w:r w:rsidRPr="00704FB8">
        <w:rPr>
          <w:rFonts w:eastAsia="Arial" w:cs="Times New Roman"/>
          <w:sz w:val="26"/>
          <w:szCs w:val="26"/>
        </w:rPr>
        <w:t xml:space="preserve">, 132 F.3d 1400, 1405 (11th Cir. 1998). State and municipal licenses in general are not “property” for the purposes of Title 18, United States Code, Section 1341. </w:t>
      </w:r>
      <w:r w:rsidRPr="00704FB8">
        <w:rPr>
          <w:rFonts w:eastAsia="Arial" w:cs="Times New Roman"/>
          <w:i/>
          <w:sz w:val="26"/>
          <w:szCs w:val="26"/>
        </w:rPr>
        <w:t>Cleveland v. United States</w:t>
      </w:r>
      <w:r w:rsidRPr="00704FB8">
        <w:rPr>
          <w:rFonts w:eastAsia="Arial" w:cs="Times New Roman"/>
          <w:sz w:val="26"/>
          <w:szCs w:val="26"/>
        </w:rPr>
        <w:t>, 531 U.S. 12, 15, 121 S. Ct. 365, 369, 148 L. Ed. 2d 221 (2000).</w:t>
      </w:r>
    </w:p>
    <w:p w14:paraId="0E68D08F"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In the Eleventh Circuit, there has been considerable activity with respect to whether the measure of the alleged fraudulent conduct should be an objective “intended to deceive a </w:t>
      </w:r>
      <w:r w:rsidRPr="00704FB8">
        <w:rPr>
          <w:rFonts w:eastAsia="Arial" w:cs="Times New Roman"/>
          <w:sz w:val="26"/>
          <w:szCs w:val="26"/>
        </w:rPr>
        <w:lastRenderedPageBreak/>
        <w:t xml:space="preserve">reasonable person” standard, or whether conduct intended to deceive “someone,” including the ignorant and gullible, is </w:t>
      </w:r>
      <w:proofErr w:type="gramStart"/>
      <w:r w:rsidRPr="00704FB8">
        <w:rPr>
          <w:rFonts w:eastAsia="Arial" w:cs="Times New Roman"/>
          <w:sz w:val="26"/>
          <w:szCs w:val="26"/>
        </w:rPr>
        <w:t>sufficient</w:t>
      </w:r>
      <w:proofErr w:type="gramEnd"/>
      <w:r w:rsidRPr="00704FB8">
        <w:rPr>
          <w:rFonts w:eastAsia="Arial" w:cs="Times New Roman"/>
          <w:sz w:val="26"/>
          <w:szCs w:val="26"/>
        </w:rPr>
        <w:t>.</w:t>
      </w:r>
    </w:p>
    <w:p w14:paraId="6C2FD2A4" w14:textId="77777777" w:rsidR="00704FB8" w:rsidRPr="00704FB8" w:rsidRDefault="00704FB8" w:rsidP="00A215EF">
      <w:pPr>
        <w:spacing w:line="240" w:lineRule="auto"/>
        <w:jc w:val="both"/>
        <w:rPr>
          <w:rFonts w:eastAsia="Arial" w:cs="Times New Roman"/>
          <w:sz w:val="26"/>
          <w:szCs w:val="26"/>
        </w:rPr>
      </w:pPr>
      <w:r w:rsidRPr="00704FB8">
        <w:rPr>
          <w:rFonts w:eastAsia="Arial" w:cs="Times New Roman"/>
          <w:sz w:val="26"/>
          <w:szCs w:val="26"/>
        </w:rPr>
        <w:t xml:space="preserve">In </w:t>
      </w:r>
      <w:r w:rsidRPr="00704FB8">
        <w:rPr>
          <w:rFonts w:eastAsia="Arial" w:cs="Times New Roman"/>
          <w:i/>
          <w:sz w:val="26"/>
          <w:szCs w:val="26"/>
        </w:rPr>
        <w:t>United States v. Svete</w:t>
      </w:r>
      <w:r w:rsidRPr="00704FB8">
        <w:rPr>
          <w:rFonts w:eastAsia="Arial" w:cs="Times New Roman"/>
          <w:sz w:val="26"/>
          <w:szCs w:val="26"/>
        </w:rPr>
        <w:t>, 556 F.3d 1157 (11th Cir. 2009), the Eleventh Circuit, in an en banc decision, held that:</w:t>
      </w:r>
    </w:p>
    <w:p w14:paraId="798F4F85" w14:textId="77777777" w:rsidR="00704FB8" w:rsidRPr="00704FB8" w:rsidRDefault="00704FB8" w:rsidP="00A215EF">
      <w:pPr>
        <w:spacing w:line="240" w:lineRule="auto"/>
        <w:ind w:left="1440" w:right="1440"/>
        <w:jc w:val="both"/>
        <w:rPr>
          <w:rFonts w:eastAsia="Arial" w:cs="Times New Roman"/>
          <w:sz w:val="26"/>
          <w:szCs w:val="26"/>
        </w:rPr>
      </w:pPr>
      <w:r w:rsidRPr="00704FB8">
        <w:rPr>
          <w:rFonts w:eastAsia="Arial" w:cs="Times New Roman"/>
          <w:sz w:val="26"/>
          <w:szCs w:val="26"/>
        </w:rPr>
        <w:t xml:space="preserve">Proof that a defendant created a scheme to deceive reasonable people is </w:t>
      </w:r>
      <w:proofErr w:type="gramStart"/>
      <w:r w:rsidRPr="00704FB8">
        <w:rPr>
          <w:rFonts w:eastAsia="Arial" w:cs="Times New Roman"/>
          <w:sz w:val="26"/>
          <w:szCs w:val="26"/>
        </w:rPr>
        <w:t>sufficient</w:t>
      </w:r>
      <w:proofErr w:type="gramEnd"/>
      <w:r w:rsidRPr="00704FB8">
        <w:rPr>
          <w:rFonts w:eastAsia="Arial" w:cs="Times New Roman"/>
          <w:sz w:val="26"/>
          <w:szCs w:val="26"/>
        </w:rPr>
        <w:t xml:space="preserve"> evidence that the defendant intended to deceive, but a defendant who intends to deceive the ignorant or gullible by preying on their infirmities is no less guilty. Either way, the defendant has criminal intent.</w:t>
      </w:r>
    </w:p>
    <w:p w14:paraId="08F5B790" w14:textId="77777777" w:rsidR="00704FB8" w:rsidRPr="00704FB8" w:rsidRDefault="00704FB8" w:rsidP="00A215EF">
      <w:pPr>
        <w:spacing w:line="240" w:lineRule="auto"/>
        <w:jc w:val="both"/>
        <w:rPr>
          <w:rFonts w:eastAsia="Times New Roman" w:cs="Times New Roman"/>
          <w:sz w:val="26"/>
          <w:szCs w:val="26"/>
        </w:rPr>
      </w:pPr>
      <w:r w:rsidRPr="00704FB8">
        <w:rPr>
          <w:rFonts w:eastAsia="Arial" w:cs="Times New Roman"/>
          <w:sz w:val="26"/>
          <w:szCs w:val="26"/>
        </w:rPr>
        <w:t>556 F.3d 1157, 1165 (11th Cir. 2009).</w:t>
      </w:r>
      <w:bookmarkStart w:id="0" w:name="bkmarkO50_3"/>
      <w:bookmarkStart w:id="1" w:name="bkmarkO50_4"/>
      <w:bookmarkStart w:id="2" w:name="bkmarkO51"/>
      <w:bookmarkStart w:id="3" w:name="bkmarkO52"/>
      <w:bookmarkStart w:id="4" w:name="bkmarkO53"/>
      <w:bookmarkEnd w:id="0"/>
      <w:bookmarkEnd w:id="1"/>
      <w:bookmarkEnd w:id="2"/>
      <w:bookmarkEnd w:id="3"/>
      <w:bookmarkEnd w:id="4"/>
      <w:r w:rsidRPr="00704FB8">
        <w:rPr>
          <w:rFonts w:eastAsia="Times New Roman" w:cs="Times New Roman"/>
          <w:sz w:val="26"/>
          <w:szCs w:val="26"/>
        </w:rPr>
        <w:t xml:space="preserve"> </w:t>
      </w:r>
      <w:bookmarkStart w:id="5" w:name="_GoBack"/>
      <w:bookmarkEnd w:id="5"/>
    </w:p>
    <w:sectPr w:rsidR="00704FB8" w:rsidRPr="00704FB8">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94BB6" w14:textId="77777777" w:rsidR="00093922" w:rsidRDefault="00B43685">
      <w:pPr>
        <w:spacing w:after="0" w:line="240" w:lineRule="auto"/>
      </w:pPr>
      <w:r>
        <w:separator/>
      </w:r>
    </w:p>
  </w:endnote>
  <w:endnote w:type="continuationSeparator" w:id="0">
    <w:p w14:paraId="2E408B5D" w14:textId="77777777" w:rsidR="00093922" w:rsidRDefault="00B43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BC6B" w14:textId="77AED09E" w:rsidR="004932A9" w:rsidRDefault="00A215EF">
    <w:pPr>
      <w:jc w:val="center"/>
      <w:rPr>
        <w:rFonts w:cs="Times New Roman"/>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421FA" w14:textId="77777777" w:rsidR="00093922" w:rsidRDefault="00B43685">
      <w:pPr>
        <w:spacing w:after="0" w:line="240" w:lineRule="auto"/>
      </w:pPr>
      <w:r>
        <w:separator/>
      </w:r>
    </w:p>
  </w:footnote>
  <w:footnote w:type="continuationSeparator" w:id="0">
    <w:p w14:paraId="30D97173" w14:textId="77777777" w:rsidR="00093922" w:rsidRDefault="00B43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B8"/>
    <w:rsid w:val="00093922"/>
    <w:rsid w:val="0020015A"/>
    <w:rsid w:val="00265F8E"/>
    <w:rsid w:val="0049614C"/>
    <w:rsid w:val="005A6CC6"/>
    <w:rsid w:val="00704FB8"/>
    <w:rsid w:val="00737406"/>
    <w:rsid w:val="008125D2"/>
    <w:rsid w:val="00822F6E"/>
    <w:rsid w:val="00961403"/>
    <w:rsid w:val="00A215EF"/>
    <w:rsid w:val="00B43685"/>
    <w:rsid w:val="00B47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725C"/>
  <w15:chartTrackingRefBased/>
  <w15:docId w15:val="{FE4A794A-5EAF-41D0-92BF-3700A737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5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685"/>
    <w:rPr>
      <w:rFonts w:ascii="Times New Roman" w:hAnsi="Times New Roman"/>
      <w:sz w:val="28"/>
    </w:rPr>
  </w:style>
  <w:style w:type="paragraph" w:styleId="Footer">
    <w:name w:val="footer"/>
    <w:basedOn w:val="Normal"/>
    <w:link w:val="FooterChar"/>
    <w:uiPriority w:val="99"/>
    <w:unhideWhenUsed/>
    <w:rsid w:val="00B43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68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4</cp:revision>
  <dcterms:created xsi:type="dcterms:W3CDTF">2019-02-04T18:54:00Z</dcterms:created>
  <dcterms:modified xsi:type="dcterms:W3CDTF">2019-02-04T19:39:00Z</dcterms:modified>
</cp:coreProperties>
</file>