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882DB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b/>
          <w:sz w:val="26"/>
          <w:szCs w:val="26"/>
          <w:u w:val="single"/>
        </w:rPr>
        <w:t>ANNOTATIONS AND COMMENTS</w:t>
      </w:r>
    </w:p>
    <w:p w14:paraId="493E7A79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>18 U.S.C. § 1344 provides:</w:t>
      </w:r>
    </w:p>
    <w:p w14:paraId="3586AB86" w14:textId="77777777" w:rsidR="000E69F2" w:rsidRPr="000E69F2" w:rsidRDefault="000E69F2" w:rsidP="008150A5">
      <w:pPr>
        <w:spacing w:line="240" w:lineRule="auto"/>
        <w:ind w:left="360" w:right="360" w:firstLine="360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>Whoever knowingly executes, or attempts to execute, a scheme or artifice - -</w:t>
      </w:r>
    </w:p>
    <w:p w14:paraId="62BF6978" w14:textId="77777777" w:rsidR="000E69F2" w:rsidRPr="000E69F2" w:rsidRDefault="000E69F2" w:rsidP="008150A5">
      <w:pPr>
        <w:spacing w:line="240" w:lineRule="auto"/>
        <w:ind w:left="720" w:right="720" w:firstLine="360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1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to defraud a financial institution; or</w:t>
      </w:r>
    </w:p>
    <w:p w14:paraId="394CFF88" w14:textId="77777777" w:rsidR="000E69F2" w:rsidRPr="000E69F2" w:rsidRDefault="000E69F2" w:rsidP="008150A5">
      <w:pPr>
        <w:spacing w:line="240" w:lineRule="auto"/>
        <w:ind w:left="720" w:right="720" w:firstLine="360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2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to obtain any of the moneys, funds, credits, assets, securities, or other property owned by, or under the custody or control of, a financial institution, by means of false or fraudulent pretenses, representations, or promises;</w:t>
      </w:r>
    </w:p>
    <w:p w14:paraId="796E81E7" w14:textId="77777777" w:rsidR="000E69F2" w:rsidRPr="000E69F2" w:rsidRDefault="000E69F2" w:rsidP="008150A5">
      <w:pPr>
        <w:spacing w:line="240" w:lineRule="auto"/>
        <w:ind w:left="360" w:right="360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 xml:space="preserve">shall be fined not more than $1,000,000 or imprisoned not more than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30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years or both.</w:t>
      </w:r>
    </w:p>
    <w:p w14:paraId="3911632A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i/>
          <w:sz w:val="26"/>
          <w:szCs w:val="26"/>
        </w:rPr>
        <w:t>See</w:t>
      </w:r>
      <w:r w:rsidRPr="000E69F2">
        <w:rPr>
          <w:rFonts w:eastAsia="Arial"/>
          <w:sz w:val="26"/>
          <w:szCs w:val="26"/>
        </w:rPr>
        <w:t xml:space="preserve"> 18 U.S.C. § 20 for an enumeration of the financial institutions covered by § 1344.</w:t>
      </w:r>
    </w:p>
    <w:p w14:paraId="4924298F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 xml:space="preserve">An additional element is required under the </w:t>
      </w:r>
      <w:r w:rsidRPr="000E69F2">
        <w:rPr>
          <w:rFonts w:eastAsia="Arial"/>
          <w:i/>
          <w:sz w:val="26"/>
          <w:szCs w:val="26"/>
        </w:rPr>
        <w:t>Apprendi</w:t>
      </w:r>
      <w:r w:rsidRPr="000E69F2">
        <w:rPr>
          <w:rFonts w:eastAsia="Arial"/>
          <w:sz w:val="26"/>
          <w:szCs w:val="26"/>
        </w:rPr>
        <w:t xml:space="preserve"> doctrine when the indictment alleges any facts that would result in enhanced penalties under 18 U.S.C. § 2326. </w:t>
      </w:r>
      <w:r w:rsidRPr="000E69F2">
        <w:rPr>
          <w:rFonts w:eastAsia="Arial"/>
          <w:i/>
          <w:sz w:val="26"/>
          <w:szCs w:val="26"/>
        </w:rPr>
        <w:t>See</w:t>
      </w:r>
      <w:r w:rsidRPr="000E69F2">
        <w:rPr>
          <w:rFonts w:eastAsia="Arial"/>
          <w:sz w:val="26"/>
          <w:szCs w:val="26"/>
        </w:rPr>
        <w:t xml:space="preserve"> Pattern Instruction 50.1.</w:t>
      </w:r>
    </w:p>
    <w:p w14:paraId="41AA2BE3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 xml:space="preserve">Proof that the financial institution is federally </w:t>
      </w:r>
      <w:proofErr w:type="gramStart"/>
      <w:r w:rsidRPr="000E69F2">
        <w:rPr>
          <w:rFonts w:eastAsia="Arial"/>
          <w:sz w:val="26"/>
          <w:szCs w:val="26"/>
        </w:rPr>
        <w:t>chartered</w:t>
      </w:r>
      <w:proofErr w:type="gramEnd"/>
      <w:r w:rsidRPr="000E69F2">
        <w:rPr>
          <w:rFonts w:eastAsia="Arial"/>
          <w:sz w:val="26"/>
          <w:szCs w:val="26"/>
        </w:rPr>
        <w:t xml:space="preserve"> or insured is an essential element of the crime, as well as necessary to establish federal jurisdiction. </w:t>
      </w:r>
      <w:r w:rsidRPr="000E69F2">
        <w:rPr>
          <w:rFonts w:eastAsia="Arial"/>
          <w:i/>
          <w:sz w:val="26"/>
          <w:szCs w:val="26"/>
        </w:rPr>
        <w:t>United States v. Scott</w:t>
      </w:r>
      <w:r w:rsidRPr="000E69F2">
        <w:rPr>
          <w:rFonts w:eastAsia="Arial"/>
          <w:sz w:val="26"/>
          <w:szCs w:val="26"/>
        </w:rPr>
        <w:t xml:space="preserve">, 159 F.3d 916, 921 (5th Cir. 1998). Materiality is an essential element of the crime of bank fraud. </w:t>
      </w:r>
      <w:r w:rsidRPr="000E69F2">
        <w:rPr>
          <w:rFonts w:eastAsia="Arial"/>
          <w:i/>
          <w:sz w:val="26"/>
          <w:szCs w:val="26"/>
        </w:rPr>
        <w:t>Neder v. United States</w:t>
      </w:r>
      <w:r w:rsidRPr="000E69F2">
        <w:rPr>
          <w:rFonts w:eastAsia="Arial"/>
          <w:sz w:val="26"/>
          <w:szCs w:val="26"/>
        </w:rPr>
        <w:t>, 527 U.S. 1, 25 (1999).</w:t>
      </w:r>
    </w:p>
    <w:p w14:paraId="3334C49E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 xml:space="preserve">There are two separate offenses possible under Section 1344: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1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defrauding a financial institution; or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2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obtaining money or funds from the financial institution by means of material false or fraudulent pretenses, representations, or promises. </w:t>
      </w:r>
      <w:r w:rsidRPr="000E69F2">
        <w:rPr>
          <w:rFonts w:eastAsia="Arial"/>
          <w:i/>
          <w:sz w:val="26"/>
          <w:szCs w:val="26"/>
        </w:rPr>
        <w:t>United States v. Dennis</w:t>
      </w:r>
      <w:r w:rsidRPr="000E69F2">
        <w:rPr>
          <w:rFonts w:eastAsia="Arial"/>
          <w:sz w:val="26"/>
          <w:szCs w:val="26"/>
        </w:rPr>
        <w:t xml:space="preserve">, 237 F.3d 1295, 1303 (11th Cir. 2001) (discussing elements of bank fraud under section 1344); </w:t>
      </w:r>
      <w:r w:rsidRPr="000E69F2">
        <w:rPr>
          <w:rFonts w:eastAsia="Arial"/>
          <w:i/>
          <w:sz w:val="26"/>
          <w:szCs w:val="26"/>
        </w:rPr>
        <w:t>United States v. Mueller</w:t>
      </w:r>
      <w:r w:rsidRPr="000E69F2">
        <w:rPr>
          <w:rFonts w:eastAsia="Arial"/>
          <w:sz w:val="26"/>
          <w:szCs w:val="26"/>
        </w:rPr>
        <w:t xml:space="preserve">, 74 F.3d 1152, 1159 (11th Cir. 1996). In the case of defrauding a financial institution, the Government must establish “that the defendant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1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intentionally participated in a scheme or artifice to defraud another of money or property; and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2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that the victim of the scheme or artifice was an insured financial institution.” </w:t>
      </w:r>
      <w:r w:rsidRPr="000E69F2">
        <w:rPr>
          <w:rFonts w:eastAsia="Arial"/>
          <w:i/>
          <w:sz w:val="26"/>
          <w:szCs w:val="26"/>
        </w:rPr>
        <w:t>United States v. Goldsmith</w:t>
      </w:r>
      <w:r w:rsidRPr="000E69F2">
        <w:rPr>
          <w:rFonts w:eastAsia="Arial"/>
          <w:sz w:val="26"/>
          <w:szCs w:val="26"/>
        </w:rPr>
        <w:t>, 109 F.3d 714, 715 (11th Cir. 1997). Under the alternative theory, the Government must prove “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1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that a scheme existed in order to obtain money, funds, or credit in the custody of the federally insured institution;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2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that the defendant participated in the scheme by means of false pretenses, representations or promises, which were material; and </w:t>
      </w:r>
      <w:r w:rsidRPr="000E69F2">
        <w:rPr>
          <w:rFonts w:eastAsia="Arial"/>
          <w:sz w:val="26"/>
          <w:szCs w:val="26"/>
        </w:rPr>
        <w:fldChar w:fldCharType="begin"/>
      </w:r>
      <w:r w:rsidRPr="000E69F2">
        <w:rPr>
          <w:rFonts w:eastAsia="Arial"/>
          <w:sz w:val="26"/>
          <w:szCs w:val="26"/>
        </w:rPr>
        <w:instrText xml:space="preserve"> LISTNUM  NumberDefault \l 4 \s 3 </w:instrText>
      </w:r>
      <w:r w:rsidRPr="000E69F2">
        <w:rPr>
          <w:rFonts w:eastAsia="Arial"/>
          <w:sz w:val="26"/>
          <w:szCs w:val="26"/>
        </w:rPr>
        <w:fldChar w:fldCharType="end"/>
      </w:r>
      <w:r w:rsidRPr="000E69F2">
        <w:rPr>
          <w:rFonts w:eastAsia="Arial"/>
          <w:sz w:val="26"/>
          <w:szCs w:val="26"/>
        </w:rPr>
        <w:t xml:space="preserve"> that the defendant acted knowingly.” </w:t>
      </w:r>
      <w:r w:rsidRPr="000E69F2">
        <w:rPr>
          <w:rFonts w:eastAsia="Arial"/>
          <w:i/>
          <w:sz w:val="26"/>
          <w:szCs w:val="26"/>
        </w:rPr>
        <w:t>Id</w:t>
      </w:r>
      <w:r w:rsidRPr="000E69F2">
        <w:rPr>
          <w:rFonts w:eastAsia="Arial"/>
          <w:sz w:val="26"/>
          <w:szCs w:val="26"/>
        </w:rPr>
        <w:t xml:space="preserve">.  As the Supreme Court explained in </w:t>
      </w:r>
      <w:proofErr w:type="spellStart"/>
      <w:r w:rsidRPr="000E69F2">
        <w:rPr>
          <w:rFonts w:eastAsia="Arial"/>
          <w:i/>
          <w:sz w:val="26"/>
          <w:szCs w:val="26"/>
        </w:rPr>
        <w:t>Loughrin</w:t>
      </w:r>
      <w:proofErr w:type="spellEnd"/>
      <w:r w:rsidRPr="000E69F2">
        <w:rPr>
          <w:rFonts w:eastAsia="Arial"/>
          <w:i/>
          <w:sz w:val="26"/>
          <w:szCs w:val="26"/>
        </w:rPr>
        <w:t xml:space="preserve"> v. United States</w:t>
      </w:r>
      <w:r w:rsidRPr="000E69F2">
        <w:rPr>
          <w:rFonts w:eastAsia="Arial"/>
          <w:sz w:val="26"/>
          <w:szCs w:val="26"/>
        </w:rPr>
        <w:t>, 134 S. Ct. 2384 (2014), to prove a violation under Section 1344(s), the Government need not prove that the defendant intended to defraud a bank.</w:t>
      </w:r>
    </w:p>
    <w:p w14:paraId="444295FA" w14:textId="77777777" w:rsidR="000E69F2" w:rsidRPr="000E69F2" w:rsidRDefault="000E69F2" w:rsidP="008150A5">
      <w:pPr>
        <w:widowControl w:val="0"/>
        <w:tabs>
          <w:tab w:val="left" w:pos="2700"/>
        </w:tabs>
        <w:autoSpaceDE w:val="0"/>
        <w:autoSpaceDN w:val="0"/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0E69F2">
        <w:rPr>
          <w:rFonts w:eastAsia="Times New Roman" w:cs="Times New Roman"/>
          <w:sz w:val="26"/>
          <w:szCs w:val="26"/>
        </w:rPr>
        <w:t xml:space="preserve">The instruction makes clear that deception alone does not constitute a scheme to defraud; a defendant must intend to cause injury or loss.  </w:t>
      </w:r>
      <w:r w:rsidRPr="000E69F2">
        <w:rPr>
          <w:rFonts w:eastAsia="Times New Roman" w:cs="Times New Roman"/>
          <w:i/>
          <w:sz w:val="26"/>
          <w:szCs w:val="26"/>
        </w:rPr>
        <w:t>See United States v. Takhalov</w:t>
      </w:r>
      <w:r w:rsidRPr="000E69F2">
        <w:rPr>
          <w:rFonts w:eastAsia="Times New Roman" w:cs="Times New Roman"/>
          <w:sz w:val="26"/>
          <w:szCs w:val="26"/>
        </w:rPr>
        <w:t xml:space="preserve">, 827 F.3d 1307, 1315 (11th Cir. 2016), altered in part on denial of rehearing by </w:t>
      </w:r>
      <w:r w:rsidRPr="000E69F2">
        <w:rPr>
          <w:rFonts w:eastAsia="Times New Roman" w:cs="Times New Roman"/>
          <w:i/>
          <w:sz w:val="26"/>
          <w:szCs w:val="26"/>
        </w:rPr>
        <w:t>United States v. Takhalov</w:t>
      </w:r>
      <w:r w:rsidRPr="000E69F2">
        <w:rPr>
          <w:rFonts w:eastAsia="Times New Roman" w:cs="Times New Roman"/>
          <w:sz w:val="26"/>
          <w:szCs w:val="26"/>
        </w:rPr>
        <w:t xml:space="preserve">, 838 F.3d 1168 (11th Cir. 2016) (“A jury cannot convict a defendant of wire </w:t>
      </w:r>
      <w:r w:rsidRPr="000E69F2">
        <w:rPr>
          <w:rFonts w:eastAsia="Times New Roman" w:cs="Times New Roman"/>
          <w:sz w:val="26"/>
          <w:szCs w:val="26"/>
        </w:rPr>
        <w:lastRenderedPageBreak/>
        <w:t>fraud, then, based on misrepresentations amounting only to a deceit.” (internal quotation marks and citation omitted)).</w:t>
      </w:r>
    </w:p>
    <w:p w14:paraId="5E7B7EBD" w14:textId="77777777" w:rsidR="000E69F2" w:rsidRPr="000E69F2" w:rsidRDefault="000E69F2" w:rsidP="008150A5">
      <w:pPr>
        <w:spacing w:line="240" w:lineRule="auto"/>
        <w:jc w:val="both"/>
        <w:rPr>
          <w:rFonts w:eastAsia="Arial"/>
          <w:sz w:val="26"/>
          <w:szCs w:val="26"/>
        </w:rPr>
      </w:pPr>
      <w:r w:rsidRPr="000E69F2">
        <w:rPr>
          <w:rFonts w:eastAsia="Arial"/>
          <w:sz w:val="26"/>
          <w:szCs w:val="26"/>
        </w:rPr>
        <w:t xml:space="preserve">While materiality is an element of the bank fraud offense under </w:t>
      </w:r>
      <w:r w:rsidRPr="000E69F2">
        <w:rPr>
          <w:rFonts w:eastAsia="Arial"/>
          <w:i/>
          <w:sz w:val="26"/>
          <w:szCs w:val="26"/>
        </w:rPr>
        <w:t>Neder, see also United States v. Williams</w:t>
      </w:r>
      <w:r w:rsidRPr="000E69F2">
        <w:rPr>
          <w:rFonts w:eastAsia="Arial"/>
          <w:sz w:val="26"/>
          <w:szCs w:val="26"/>
        </w:rPr>
        <w:t>, 390 F.3d 1319, 1324 (11th Cir. 2004) (same), the Supreme Court has held (pre-</w:t>
      </w:r>
      <w:r w:rsidRPr="000E69F2">
        <w:rPr>
          <w:rFonts w:eastAsia="Arial"/>
          <w:i/>
          <w:sz w:val="26"/>
          <w:szCs w:val="26"/>
        </w:rPr>
        <w:t>Neder</w:t>
      </w:r>
      <w:r w:rsidRPr="000E69F2">
        <w:rPr>
          <w:rFonts w:eastAsia="Arial"/>
          <w:sz w:val="26"/>
          <w:szCs w:val="26"/>
        </w:rPr>
        <w:t xml:space="preserve">) that materiality is </w:t>
      </w:r>
      <w:r w:rsidRPr="000E69F2">
        <w:rPr>
          <w:rFonts w:eastAsia="Arial"/>
          <w:i/>
          <w:sz w:val="26"/>
          <w:szCs w:val="26"/>
        </w:rPr>
        <w:t>not</w:t>
      </w:r>
      <w:r w:rsidRPr="000E69F2">
        <w:rPr>
          <w:rFonts w:eastAsia="Arial"/>
          <w:sz w:val="26"/>
          <w:szCs w:val="26"/>
        </w:rPr>
        <w:t xml:space="preserve"> an element of the offense in a prosecution under 18 U.S.C. § 1014, a similar statute which prohibits making a false statement to a federally insured bank or designated financial institution. </w:t>
      </w:r>
      <w:r w:rsidRPr="000E69F2">
        <w:rPr>
          <w:rFonts w:eastAsia="Arial"/>
          <w:i/>
          <w:sz w:val="26"/>
          <w:szCs w:val="26"/>
        </w:rPr>
        <w:t>United States v. Wells</w:t>
      </w:r>
      <w:r w:rsidRPr="000E69F2">
        <w:rPr>
          <w:rFonts w:eastAsia="Arial"/>
          <w:sz w:val="26"/>
          <w:szCs w:val="26"/>
        </w:rPr>
        <w:t>, 519 U.S. 482 (1997).</w:t>
      </w:r>
      <w:bookmarkStart w:id="0" w:name="_GoBack"/>
      <w:bookmarkEnd w:id="0"/>
    </w:p>
    <w:sectPr w:rsidR="000E69F2" w:rsidRPr="000E6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F2"/>
    <w:rsid w:val="000E69F2"/>
    <w:rsid w:val="0020015A"/>
    <w:rsid w:val="00265F8E"/>
    <w:rsid w:val="0049614C"/>
    <w:rsid w:val="005A6CC6"/>
    <w:rsid w:val="008125D2"/>
    <w:rsid w:val="008150A5"/>
    <w:rsid w:val="00822F6E"/>
    <w:rsid w:val="00961403"/>
    <w:rsid w:val="00B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D0BF8"/>
  <w15:chartTrackingRefBased/>
  <w15:docId w15:val="{4D063554-F087-4E76-AEEF-4D2CA10D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5D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2019-02-04T19:05:00Z</dcterms:created>
  <dcterms:modified xsi:type="dcterms:W3CDTF">2019-02-04T19:56:00Z</dcterms:modified>
</cp:coreProperties>
</file>