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7C3" w:rsidRDefault="002077C3" w:rsidP="002077C3">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2077C3" w:rsidRDefault="002077C3" w:rsidP="002077C3">
      <w:pPr>
        <w:spacing w:after="0" w:line="240" w:lineRule="auto"/>
        <w:jc w:val="both"/>
        <w:rPr>
          <w:rFonts w:ascii="Times New Roman" w:eastAsia="Arial" w:hAnsi="Times New Roman"/>
          <w:sz w:val="26"/>
          <w:szCs w:val="26"/>
        </w:rPr>
      </w:pPr>
    </w:p>
    <w:p w:rsidR="002077C3" w:rsidRDefault="002077C3" w:rsidP="002077C3">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1349 provides:</w:t>
      </w:r>
    </w:p>
    <w:p w:rsidR="002077C3" w:rsidRDefault="002077C3" w:rsidP="002077C3">
      <w:pPr>
        <w:spacing w:after="0" w:line="240" w:lineRule="auto"/>
        <w:jc w:val="both"/>
        <w:rPr>
          <w:rFonts w:ascii="Times New Roman" w:eastAsia="Arial" w:hAnsi="Times New Roman"/>
          <w:sz w:val="26"/>
          <w:szCs w:val="26"/>
        </w:rPr>
      </w:pPr>
    </w:p>
    <w:p w:rsidR="002077C3" w:rsidRDefault="002077C3" w:rsidP="002077C3">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Any person who attempts or conspires to commit any offense under this chapter shall be subject to the same penalties as those prescribed for the offense, the commission of which was the object of the attempt or conspiracy.</w:t>
      </w:r>
    </w:p>
    <w:p w:rsidR="002077C3" w:rsidRDefault="002077C3" w:rsidP="002077C3">
      <w:pPr>
        <w:spacing w:after="0" w:line="240" w:lineRule="auto"/>
        <w:ind w:right="360"/>
        <w:jc w:val="both"/>
        <w:rPr>
          <w:rFonts w:ascii="Times New Roman" w:eastAsia="Arial" w:hAnsi="Times New Roman"/>
          <w:sz w:val="26"/>
          <w:szCs w:val="26"/>
        </w:rPr>
      </w:pPr>
    </w:p>
    <w:p w:rsidR="002077C3" w:rsidRDefault="002077C3" w:rsidP="002077C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w:t>
      </w:r>
      <w:r w:rsidR="003020A3">
        <w:rPr>
          <w:rFonts w:ascii="Times New Roman" w:eastAsia="Arial" w:hAnsi="Times New Roman"/>
          <w:sz w:val="26"/>
          <w:szCs w:val="26"/>
        </w:rPr>
        <w:t>p</w:t>
      </w:r>
      <w:r>
        <w:rPr>
          <w:rFonts w:ascii="Times New Roman" w:eastAsia="Arial" w:hAnsi="Times New Roman"/>
          <w:sz w:val="26"/>
          <w:szCs w:val="26"/>
        </w:rPr>
        <w:t>enalty: As stated above.</w:t>
      </w:r>
    </w:p>
    <w:p w:rsidR="002077C3" w:rsidRDefault="002077C3" w:rsidP="002077C3">
      <w:pPr>
        <w:spacing w:after="0" w:line="240" w:lineRule="auto"/>
        <w:jc w:val="both"/>
        <w:rPr>
          <w:rFonts w:ascii="Times New Roman" w:eastAsia="Arial" w:hAnsi="Times New Roman"/>
          <w:sz w:val="26"/>
          <w:szCs w:val="26"/>
        </w:rPr>
      </w:pPr>
    </w:p>
    <w:p w:rsidR="002077C3" w:rsidRDefault="002077C3" w:rsidP="002077C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Section 1349 applies to all fraud offenses in Chapter 63, i.e., Sections 1341 through 1348, </w:t>
      </w:r>
      <w:proofErr w:type="gramStart"/>
      <w:r>
        <w:rPr>
          <w:rFonts w:ascii="Times New Roman" w:eastAsia="Arial" w:hAnsi="Times New Roman"/>
          <w:sz w:val="26"/>
          <w:szCs w:val="26"/>
        </w:rPr>
        <w:t>So</w:t>
      </w:r>
      <w:proofErr w:type="gramEnd"/>
      <w:r>
        <w:rPr>
          <w:rFonts w:ascii="Times New Roman" w:eastAsia="Arial" w:hAnsi="Times New Roman"/>
          <w:sz w:val="26"/>
          <w:szCs w:val="26"/>
        </w:rPr>
        <w:t>, a conspiracy could be charged with any of those substantive offenses as the underlying count. This instruction is thus intended to be modified to fit the specific underlying fraud alleged in the indictment, and it is in the same general form as the controlled substances conspiracy instruction for 21 U.S.C. § 846 and the money laundering conspiracy instruction for 18 U.S.C. 1956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8 </w:instrText>
      </w:r>
      <w:r>
        <w:rPr>
          <w:rFonts w:ascii="Times New Roman" w:eastAsia="Arial" w:hAnsi="Times New Roman"/>
          <w:sz w:val="26"/>
          <w:szCs w:val="26"/>
        </w:rPr>
        <w:fldChar w:fldCharType="end"/>
      </w:r>
      <w:r>
        <w:rPr>
          <w:rFonts w:ascii="Times New Roman" w:eastAsia="Arial" w:hAnsi="Times New Roman"/>
          <w:sz w:val="26"/>
          <w:szCs w:val="26"/>
        </w:rPr>
        <w:t xml:space="preserve">. No overt act is required by Section 1349, and Congress’ omission of that requirement (which is specifically included in 18 U.S.C. § 371) has been held by both the Supreme Court and the Eleventh Circuit to mean that it has dispensed with such a requirement. </w:t>
      </w:r>
      <w:r w:rsidRPr="003020A3">
        <w:rPr>
          <w:rFonts w:ascii="Times New Roman" w:eastAsia="Arial" w:hAnsi="Times New Roman"/>
          <w:i/>
          <w:sz w:val="26"/>
          <w:szCs w:val="26"/>
        </w:rPr>
        <w:t xml:space="preserve">Cf. United States v. </w:t>
      </w:r>
      <w:proofErr w:type="spellStart"/>
      <w:r w:rsidRPr="003020A3">
        <w:rPr>
          <w:rFonts w:ascii="Times New Roman" w:eastAsia="Arial" w:hAnsi="Times New Roman"/>
          <w:i/>
          <w:sz w:val="26"/>
          <w:szCs w:val="26"/>
        </w:rPr>
        <w:t>Shabani</w:t>
      </w:r>
      <w:proofErr w:type="spellEnd"/>
      <w:r>
        <w:rPr>
          <w:rFonts w:ascii="Times New Roman" w:eastAsia="Arial" w:hAnsi="Times New Roman"/>
          <w:sz w:val="26"/>
          <w:szCs w:val="26"/>
        </w:rPr>
        <w:t xml:space="preserve">, 513 U.S. 10, 12, 115 S. Ct. 382, 130 L. Ed. 2d 225 (1994); </w:t>
      </w:r>
      <w:r w:rsidRPr="003020A3">
        <w:rPr>
          <w:rFonts w:ascii="Times New Roman" w:eastAsia="Arial" w:hAnsi="Times New Roman"/>
          <w:i/>
          <w:sz w:val="26"/>
          <w:szCs w:val="26"/>
        </w:rPr>
        <w:t xml:space="preserve">United States v. </w:t>
      </w:r>
      <w:proofErr w:type="spellStart"/>
      <w:r w:rsidRPr="003020A3">
        <w:rPr>
          <w:rFonts w:ascii="Times New Roman" w:eastAsia="Arial" w:hAnsi="Times New Roman"/>
          <w:i/>
          <w:sz w:val="26"/>
          <w:szCs w:val="26"/>
        </w:rPr>
        <w:t>Pistone</w:t>
      </w:r>
      <w:proofErr w:type="spellEnd"/>
      <w:r>
        <w:rPr>
          <w:rFonts w:ascii="Times New Roman" w:eastAsia="Arial" w:hAnsi="Times New Roman"/>
          <w:sz w:val="26"/>
          <w:szCs w:val="26"/>
        </w:rPr>
        <w:t>, 177 F.3d 957, 959-60 (11</w:t>
      </w:r>
      <w:r w:rsidRPr="00674F55">
        <w:rPr>
          <w:rFonts w:ascii="Times New Roman" w:eastAsia="Arial" w:hAnsi="Times New Roman"/>
          <w:sz w:val="26"/>
          <w:szCs w:val="26"/>
          <w:vertAlign w:val="superscript"/>
        </w:rPr>
        <w:t>th</w:t>
      </w:r>
      <w:r>
        <w:rPr>
          <w:rFonts w:ascii="Times New Roman" w:eastAsia="Arial" w:hAnsi="Times New Roman"/>
          <w:sz w:val="26"/>
          <w:szCs w:val="26"/>
        </w:rPr>
        <w:t xml:space="preserve"> Cir. 1999).</w:t>
      </w:r>
    </w:p>
    <w:p w:rsidR="002077C3" w:rsidRDefault="002077C3" w:rsidP="002077C3">
      <w:pPr>
        <w:spacing w:after="0" w:line="240" w:lineRule="auto"/>
        <w:jc w:val="both"/>
        <w:rPr>
          <w:rFonts w:ascii="Times New Roman" w:eastAsia="Arial" w:hAnsi="Times New Roman"/>
          <w:sz w:val="26"/>
          <w:szCs w:val="26"/>
        </w:rPr>
      </w:pPr>
    </w:p>
    <w:p w:rsidR="00725167" w:rsidRPr="002077C3" w:rsidRDefault="002077C3" w:rsidP="002077C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For a case involving conspiracy to defraud the United States arising under 18 U.S.C. § 371, </w:t>
      </w:r>
      <w:r w:rsidRPr="003020A3">
        <w:rPr>
          <w:rFonts w:ascii="Times New Roman" w:eastAsia="Arial" w:hAnsi="Times New Roman"/>
          <w:i/>
          <w:sz w:val="26"/>
          <w:szCs w:val="26"/>
        </w:rPr>
        <w:t>see United States v. Mendez</w:t>
      </w:r>
      <w:r>
        <w:rPr>
          <w:rFonts w:ascii="Times New Roman" w:eastAsia="Arial" w:hAnsi="Times New Roman"/>
          <w:sz w:val="26"/>
          <w:szCs w:val="26"/>
        </w:rPr>
        <w:t>, 528 F.3d 811 (11</w:t>
      </w:r>
      <w:r w:rsidRPr="00674F55">
        <w:rPr>
          <w:rFonts w:ascii="Times New Roman" w:eastAsia="Arial" w:hAnsi="Times New Roman"/>
          <w:sz w:val="26"/>
          <w:szCs w:val="26"/>
          <w:vertAlign w:val="superscript"/>
        </w:rPr>
        <w:t>th</w:t>
      </w:r>
      <w:r>
        <w:rPr>
          <w:rFonts w:ascii="Times New Roman" w:eastAsia="Arial" w:hAnsi="Times New Roman"/>
          <w:sz w:val="26"/>
          <w:szCs w:val="26"/>
        </w:rPr>
        <w:t xml:space="preserve"> Cir. 2008).</w:t>
      </w:r>
      <w:bookmarkEnd w:id="0"/>
    </w:p>
    <w:sectPr w:rsidR="00725167" w:rsidRPr="002077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C5C" w:rsidRDefault="00E65C5C" w:rsidP="00E65C5C">
      <w:pPr>
        <w:spacing w:after="0" w:line="240" w:lineRule="auto"/>
      </w:pPr>
      <w:r>
        <w:separator/>
      </w:r>
    </w:p>
  </w:endnote>
  <w:endnote w:type="continuationSeparator" w:id="0">
    <w:p w:rsidR="00E65C5C" w:rsidRDefault="00E65C5C" w:rsidP="00E65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C5C" w:rsidRDefault="00E65C5C" w:rsidP="00E65C5C">
      <w:pPr>
        <w:spacing w:after="0" w:line="240" w:lineRule="auto"/>
      </w:pPr>
      <w:r>
        <w:separator/>
      </w:r>
    </w:p>
  </w:footnote>
  <w:footnote w:type="continuationSeparator" w:id="0">
    <w:p w:rsidR="00E65C5C" w:rsidRDefault="00E65C5C" w:rsidP="00E65C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5B53"/>
    <w:rsid w:val="002077C3"/>
    <w:rsid w:val="002329BF"/>
    <w:rsid w:val="00233997"/>
    <w:rsid w:val="00236275"/>
    <w:rsid w:val="00245EF2"/>
    <w:rsid w:val="002604B9"/>
    <w:rsid w:val="00290544"/>
    <w:rsid w:val="002D2202"/>
    <w:rsid w:val="003020A3"/>
    <w:rsid w:val="003067A0"/>
    <w:rsid w:val="00314335"/>
    <w:rsid w:val="00372806"/>
    <w:rsid w:val="003A75E9"/>
    <w:rsid w:val="003B0729"/>
    <w:rsid w:val="003B09A8"/>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442C"/>
    <w:rsid w:val="008B149D"/>
    <w:rsid w:val="008B4118"/>
    <w:rsid w:val="008C025F"/>
    <w:rsid w:val="008D77A9"/>
    <w:rsid w:val="008E0F69"/>
    <w:rsid w:val="008E221D"/>
    <w:rsid w:val="008E4BA2"/>
    <w:rsid w:val="008E7C9B"/>
    <w:rsid w:val="009458BA"/>
    <w:rsid w:val="009745AC"/>
    <w:rsid w:val="009C1E78"/>
    <w:rsid w:val="009E1B73"/>
    <w:rsid w:val="009F5DAD"/>
    <w:rsid w:val="00A355FD"/>
    <w:rsid w:val="00A66EA6"/>
    <w:rsid w:val="00A746F3"/>
    <w:rsid w:val="00AA01A6"/>
    <w:rsid w:val="00AA4174"/>
    <w:rsid w:val="00AC24E2"/>
    <w:rsid w:val="00AE0F43"/>
    <w:rsid w:val="00AE20D4"/>
    <w:rsid w:val="00AF2C77"/>
    <w:rsid w:val="00B111CD"/>
    <w:rsid w:val="00B11304"/>
    <w:rsid w:val="00B55CBA"/>
    <w:rsid w:val="00B8093D"/>
    <w:rsid w:val="00B85D99"/>
    <w:rsid w:val="00B930F5"/>
    <w:rsid w:val="00BA1F2B"/>
    <w:rsid w:val="00BD01A4"/>
    <w:rsid w:val="00BE616A"/>
    <w:rsid w:val="00BE645C"/>
    <w:rsid w:val="00C1091D"/>
    <w:rsid w:val="00C6290E"/>
    <w:rsid w:val="00C83E88"/>
    <w:rsid w:val="00CA3187"/>
    <w:rsid w:val="00CC4195"/>
    <w:rsid w:val="00CD1D4C"/>
    <w:rsid w:val="00CD51F7"/>
    <w:rsid w:val="00CD734E"/>
    <w:rsid w:val="00CE7DC5"/>
    <w:rsid w:val="00CF4F9A"/>
    <w:rsid w:val="00D163A7"/>
    <w:rsid w:val="00D513C4"/>
    <w:rsid w:val="00D7262F"/>
    <w:rsid w:val="00DA00D9"/>
    <w:rsid w:val="00DC18AE"/>
    <w:rsid w:val="00DE06FC"/>
    <w:rsid w:val="00DE3018"/>
    <w:rsid w:val="00DE55A6"/>
    <w:rsid w:val="00DE7E97"/>
    <w:rsid w:val="00DE7F68"/>
    <w:rsid w:val="00E109DF"/>
    <w:rsid w:val="00E20CB0"/>
    <w:rsid w:val="00E31401"/>
    <w:rsid w:val="00E419F1"/>
    <w:rsid w:val="00E42DFC"/>
    <w:rsid w:val="00E47F68"/>
    <w:rsid w:val="00E61913"/>
    <w:rsid w:val="00E627E0"/>
    <w:rsid w:val="00E65C5C"/>
    <w:rsid w:val="00E65F7A"/>
    <w:rsid w:val="00E81914"/>
    <w:rsid w:val="00E85563"/>
    <w:rsid w:val="00EA08A4"/>
    <w:rsid w:val="00EB1384"/>
    <w:rsid w:val="00EC39ED"/>
    <w:rsid w:val="00EC4504"/>
    <w:rsid w:val="00ED619F"/>
    <w:rsid w:val="00F27B7F"/>
    <w:rsid w:val="00F57477"/>
    <w:rsid w:val="00F64671"/>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E65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C5C"/>
  </w:style>
  <w:style w:type="paragraph" w:styleId="Footer">
    <w:name w:val="footer"/>
    <w:basedOn w:val="Normal"/>
    <w:link w:val="FooterChar"/>
    <w:uiPriority w:val="99"/>
    <w:unhideWhenUsed/>
    <w:rsid w:val="00E65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C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E65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C5C"/>
  </w:style>
  <w:style w:type="paragraph" w:styleId="Footer">
    <w:name w:val="footer"/>
    <w:basedOn w:val="Normal"/>
    <w:link w:val="FooterChar"/>
    <w:uiPriority w:val="99"/>
    <w:unhideWhenUsed/>
    <w:rsid w:val="00E65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2014-03-31T22:10:00Z</dcterms:created>
  <dcterms:modified xsi:type="dcterms:W3CDTF">2014-06-17T21:17:00Z</dcterms:modified>
</cp:coreProperties>
</file>