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1512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A82412" w:rsidRDefault="00A82412" w:rsidP="00A82412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Whoever knowingly uses intimidation or physical force, or threatens… another person, or attempts to do </w:t>
      </w:r>
      <w:proofErr w:type="gramStart"/>
      <w:r>
        <w:rPr>
          <w:rFonts w:ascii="Times New Roman" w:eastAsia="Arial" w:hAnsi="Times New Roman"/>
          <w:sz w:val="26"/>
          <w:szCs w:val="26"/>
        </w:rPr>
        <w:t>so, …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with intent to - -</w:t>
      </w:r>
    </w:p>
    <w:p w:rsidR="00A82412" w:rsidRDefault="00A82412" w:rsidP="00A82412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A82412" w:rsidRPr="00F708C2" w:rsidRDefault="00A82412" w:rsidP="00A82412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influence</w:t>
      </w:r>
      <w:proofErr w:type="gramEnd"/>
      <w:r>
        <w:rPr>
          <w:rFonts w:ascii="Times New Roman" w:eastAsia="Arial" w:hAnsi="Times New Roman"/>
          <w:sz w:val="26"/>
          <w:szCs w:val="26"/>
        </w:rPr>
        <w:t>, delay, or prevent the testimony of any person in an official proceeding [shall be guilty of an offense against the United States].</w:t>
      </w:r>
    </w:p>
    <w:p w:rsidR="00A82412" w:rsidRDefault="00A82412" w:rsidP="00A82412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Twenty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imprisonment, applicable fine, or both.</w:t>
      </w:r>
    </w:p>
    <w:p w:rsid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“Official proceeding” is defined in 18 U.S.C. § 1515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</w:t>
      </w:r>
    </w:p>
    <w:p w:rsid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Pursuant to 18 U.S.C. § 1515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6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, the term “corruptly persuades” does not include conduct which would be misleading conduct but for a lack of a state of mind. In </w:t>
      </w:r>
      <w:r w:rsidRPr="006B71FF">
        <w:rPr>
          <w:rFonts w:ascii="Times New Roman" w:eastAsia="Arial" w:hAnsi="Times New Roman"/>
          <w:i/>
          <w:sz w:val="26"/>
          <w:szCs w:val="26"/>
        </w:rPr>
        <w:t>Arthur Andersen LLP v. United States</w:t>
      </w:r>
      <w:r>
        <w:rPr>
          <w:rFonts w:ascii="Times New Roman" w:eastAsia="Arial" w:hAnsi="Times New Roman"/>
          <w:sz w:val="26"/>
          <w:szCs w:val="26"/>
        </w:rPr>
        <w:t>, 544 U.S. 696 (2005), the United States Supreme Court interpreted § 1512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and stated that to constitute “corrupt persuasion,” there must be proof that the defendant’s conduct was wrongful, immoral, depraved or evil. The defendant must have also acted knowingly; that is, with awareness, understanding, or consciousness.</w:t>
      </w:r>
    </w:p>
    <w:p w:rsid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Additionally, the Court stated that there is a “nexus” requirement between the “persuasion” and a particular proceeding.</w:t>
      </w:r>
    </w:p>
    <w:p w:rsid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[While there is no pattern instruction for 18 U.S.C. § 1512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, it is important to note that the Eleventh Circuit has reiterated its holding that, unlike section 1512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, section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does not require that a federal investigation be initiated or that an official proceeding be ongoing. </w:t>
      </w:r>
      <w:proofErr w:type="gramStart"/>
      <w:r w:rsidRPr="006B71FF">
        <w:rPr>
          <w:rFonts w:ascii="Times New Roman" w:eastAsia="Arial" w:hAnsi="Times New Roman"/>
          <w:i/>
          <w:sz w:val="26"/>
          <w:szCs w:val="26"/>
        </w:rPr>
        <w:t>United States v. Ronda</w:t>
      </w:r>
      <w:r>
        <w:rPr>
          <w:rFonts w:ascii="Times New Roman" w:eastAsia="Arial" w:hAnsi="Times New Roman"/>
          <w:sz w:val="26"/>
          <w:szCs w:val="26"/>
        </w:rPr>
        <w:t>, 455 F.3d 1273, 1288 (11</w:t>
      </w:r>
      <w:r w:rsidRPr="00F708C2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2006).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Thus, </w:t>
      </w:r>
      <w:r w:rsidRPr="006B71FF">
        <w:rPr>
          <w:rFonts w:ascii="Times New Roman" w:eastAsia="Arial" w:hAnsi="Times New Roman"/>
          <w:i/>
          <w:sz w:val="26"/>
          <w:szCs w:val="26"/>
        </w:rPr>
        <w:t>Arthur Andersen</w:t>
      </w:r>
      <w:r>
        <w:rPr>
          <w:rFonts w:ascii="Times New Roman" w:eastAsia="Arial" w:hAnsi="Times New Roman"/>
          <w:sz w:val="26"/>
          <w:szCs w:val="26"/>
        </w:rPr>
        <w:t xml:space="preserve"> is irrelevant to section 1512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.]</w:t>
      </w:r>
    </w:p>
    <w:p w:rsid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A82412" w:rsidRDefault="00A82412" w:rsidP="00A8241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6B71FF">
        <w:rPr>
          <w:rFonts w:ascii="Times New Roman" w:eastAsia="Arial" w:hAnsi="Times New Roman"/>
          <w:i/>
          <w:sz w:val="26"/>
          <w:szCs w:val="26"/>
        </w:rPr>
        <w:t>United States v. Moody</w:t>
      </w:r>
      <w:r>
        <w:rPr>
          <w:rFonts w:ascii="Times New Roman" w:eastAsia="Arial" w:hAnsi="Times New Roman"/>
          <w:sz w:val="26"/>
          <w:szCs w:val="26"/>
        </w:rPr>
        <w:t>, 977 F.2d 1420 (11</w:t>
      </w:r>
      <w:r w:rsidRPr="00F708C2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1992), the Eleventh Circuit confirmed that witness tampering may also be prosecuted under section 1503.</w:t>
      </w:r>
      <w:bookmarkEnd w:id="0"/>
    </w:p>
    <w:sectPr w:rsidR="00725167" w:rsidRPr="00A824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990" w:rsidRDefault="00145990" w:rsidP="00145990">
      <w:pPr>
        <w:spacing w:after="0" w:line="240" w:lineRule="auto"/>
      </w:pPr>
      <w:r>
        <w:separator/>
      </w:r>
    </w:p>
  </w:endnote>
  <w:endnote w:type="continuationSeparator" w:id="0">
    <w:p w:rsidR="00145990" w:rsidRDefault="00145990" w:rsidP="00145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990" w:rsidRDefault="00145990" w:rsidP="00145990">
      <w:pPr>
        <w:spacing w:after="0" w:line="240" w:lineRule="auto"/>
      </w:pPr>
      <w:r>
        <w:separator/>
      </w:r>
    </w:p>
  </w:footnote>
  <w:footnote w:type="continuationSeparator" w:id="0">
    <w:p w:rsidR="00145990" w:rsidRDefault="00145990" w:rsidP="00145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217D5"/>
    <w:rsid w:val="0012744C"/>
    <w:rsid w:val="00135397"/>
    <w:rsid w:val="00137BA2"/>
    <w:rsid w:val="00145990"/>
    <w:rsid w:val="00157747"/>
    <w:rsid w:val="00166AB9"/>
    <w:rsid w:val="00194E82"/>
    <w:rsid w:val="001E3479"/>
    <w:rsid w:val="001E5B53"/>
    <w:rsid w:val="002077C3"/>
    <w:rsid w:val="002161E7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B09A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645E"/>
    <w:rsid w:val="006179FB"/>
    <w:rsid w:val="00632C46"/>
    <w:rsid w:val="00636B96"/>
    <w:rsid w:val="006B1FC0"/>
    <w:rsid w:val="006B71FF"/>
    <w:rsid w:val="006C204A"/>
    <w:rsid w:val="00725167"/>
    <w:rsid w:val="00780FDD"/>
    <w:rsid w:val="00783A2A"/>
    <w:rsid w:val="007C4B9C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C1E78"/>
    <w:rsid w:val="009E1B73"/>
    <w:rsid w:val="009F5DAD"/>
    <w:rsid w:val="00A355FD"/>
    <w:rsid w:val="00A36783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A3187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F27B7F"/>
    <w:rsid w:val="00F57477"/>
    <w:rsid w:val="00F64671"/>
    <w:rsid w:val="00F8667A"/>
    <w:rsid w:val="00FA4737"/>
    <w:rsid w:val="00FA6C49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5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990"/>
  </w:style>
  <w:style w:type="paragraph" w:styleId="Footer">
    <w:name w:val="footer"/>
    <w:basedOn w:val="Normal"/>
    <w:link w:val="FooterChar"/>
    <w:uiPriority w:val="99"/>
    <w:unhideWhenUsed/>
    <w:rsid w:val="00145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5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990"/>
  </w:style>
  <w:style w:type="paragraph" w:styleId="Footer">
    <w:name w:val="footer"/>
    <w:basedOn w:val="Normal"/>
    <w:link w:val="FooterChar"/>
    <w:uiPriority w:val="99"/>
    <w:unhideWhenUsed/>
    <w:rsid w:val="00145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2014-03-31T22:06:00Z</dcterms:created>
  <dcterms:modified xsi:type="dcterms:W3CDTF">2014-06-17T17:41:00Z</dcterms:modified>
</cp:coreProperties>
</file>