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FC0" w:rsidRPr="00503874" w:rsidRDefault="006B1FC0" w:rsidP="006B1FC0">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6B1FC0" w:rsidRPr="00503874" w:rsidRDefault="006B1FC0" w:rsidP="006B1FC0">
      <w:pPr>
        <w:spacing w:after="0" w:line="240" w:lineRule="auto"/>
        <w:jc w:val="both"/>
        <w:rPr>
          <w:rFonts w:ascii="Times New Roman" w:eastAsia="Arial" w:hAnsi="Times New Roman"/>
          <w:sz w:val="26"/>
          <w:szCs w:val="26"/>
        </w:rPr>
      </w:pPr>
    </w:p>
    <w:p w:rsidR="006B1FC0" w:rsidRPr="00503874" w:rsidRDefault="006B1FC0" w:rsidP="006B1FC0">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215</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6B1FC0" w:rsidRPr="00503874" w:rsidRDefault="006B1FC0" w:rsidP="006B1FC0">
      <w:pPr>
        <w:spacing w:after="0" w:line="240" w:lineRule="auto"/>
        <w:jc w:val="both"/>
        <w:rPr>
          <w:rFonts w:ascii="Times New Roman" w:eastAsia="Arial" w:hAnsi="Times New Roman"/>
          <w:sz w:val="26"/>
          <w:szCs w:val="26"/>
        </w:rPr>
      </w:pPr>
    </w:p>
    <w:p w:rsidR="006B1FC0" w:rsidRPr="00503874" w:rsidRDefault="006B1FC0" w:rsidP="006B1FC0">
      <w:pPr>
        <w:spacing w:after="0" w:line="240" w:lineRule="auto"/>
        <w:ind w:left="360" w:right="360" w:firstLine="360"/>
        <w:jc w:val="both"/>
        <w:rPr>
          <w:rFonts w:ascii="Times New Roman" w:eastAsia="Arial" w:hAnsi="Times New Roman"/>
          <w:sz w:val="26"/>
          <w:szCs w:val="26"/>
          <w:highlight w:val="lightGray"/>
        </w:rPr>
      </w:pPr>
      <w:r w:rsidRPr="00503874">
        <w:rPr>
          <w:rFonts w:ascii="Times New Roman" w:eastAsia="Arial" w:hAnsi="Times New Roman" w:cs="Times New Roman"/>
          <w:sz w:val="26"/>
          <w:szCs w:val="26"/>
        </w:rPr>
        <w:t>§ 215. Receipt of commissions or gifts for procuring loans</w:t>
      </w:r>
    </w:p>
    <w:p w:rsidR="006B1FC0" w:rsidRPr="00503874" w:rsidRDefault="006B1FC0" w:rsidP="006B1FC0">
      <w:pPr>
        <w:spacing w:after="0" w:line="240" w:lineRule="auto"/>
        <w:ind w:left="360" w:right="360" w:firstLine="360"/>
        <w:jc w:val="both"/>
        <w:rPr>
          <w:rFonts w:ascii="Times New Roman" w:eastAsia="Arial" w:hAnsi="Times New Roman"/>
          <w:sz w:val="26"/>
          <w:szCs w:val="26"/>
          <w:highlight w:val="lightGray"/>
        </w:rPr>
      </w:pPr>
    </w:p>
    <w:p w:rsidR="006B1FC0" w:rsidRPr="00503874" w:rsidRDefault="006B1FC0" w:rsidP="006B1FC0">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Whoever - -</w:t>
      </w:r>
    </w:p>
    <w:p w:rsidR="006B1FC0" w:rsidRPr="00503874" w:rsidRDefault="006B1FC0" w:rsidP="006B1FC0">
      <w:pPr>
        <w:spacing w:after="0" w:line="240" w:lineRule="auto"/>
        <w:ind w:left="360" w:right="360" w:firstLine="360"/>
        <w:jc w:val="both"/>
        <w:rPr>
          <w:rFonts w:ascii="Times New Roman" w:eastAsia="Arial" w:hAnsi="Times New Roman"/>
          <w:sz w:val="26"/>
          <w:szCs w:val="26"/>
        </w:rPr>
      </w:pPr>
    </w:p>
    <w:p w:rsidR="006B1FC0" w:rsidRPr="00503874" w:rsidRDefault="006B1FC0" w:rsidP="006B1FC0">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as an officer, director, employee, agent, or attorney of a financial institution, corruptly solicits or demands for the benefit of any person, or corruptly accepts or agrees to accept, anything of value from any person, intending to be influenced or rewarded in connection with any business or transaction of such institution [shall be guilty of an offense against the United States].</w:t>
      </w:r>
    </w:p>
    <w:p w:rsidR="006B1FC0" w:rsidRPr="00503874" w:rsidRDefault="006B1FC0" w:rsidP="006B1FC0">
      <w:pPr>
        <w:spacing w:after="0" w:line="240" w:lineRule="auto"/>
        <w:ind w:left="360" w:right="360" w:firstLine="360"/>
        <w:jc w:val="both"/>
        <w:rPr>
          <w:rFonts w:ascii="Times New Roman" w:eastAsia="Arial" w:hAnsi="Times New Roman"/>
          <w:sz w:val="26"/>
          <w:szCs w:val="26"/>
        </w:rPr>
      </w:pPr>
    </w:p>
    <w:p w:rsidR="006B1FC0" w:rsidRPr="00503874" w:rsidRDefault="006B1FC0" w:rsidP="006B1FC0">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The term “financial institution” is defined in 18 U.S.C. </w:t>
      </w:r>
      <w:r w:rsidRPr="00503874">
        <w:rPr>
          <w:rFonts w:ascii="Times New Roman" w:eastAsia="Arial" w:hAnsi="Times New Roman" w:cs="Times New Roman"/>
          <w:sz w:val="26"/>
          <w:szCs w:val="26"/>
        </w:rPr>
        <w:t>§ 20.</w:t>
      </w:r>
    </w:p>
    <w:p w:rsidR="006B1FC0" w:rsidRPr="00503874" w:rsidRDefault="006B1FC0" w:rsidP="006B1FC0">
      <w:pPr>
        <w:spacing w:after="0" w:line="240" w:lineRule="auto"/>
        <w:jc w:val="both"/>
        <w:rPr>
          <w:rFonts w:ascii="Times New Roman" w:eastAsia="Arial" w:hAnsi="Times New Roman" w:cs="Times New Roman"/>
          <w:sz w:val="26"/>
          <w:szCs w:val="26"/>
        </w:rPr>
      </w:pPr>
    </w:p>
    <w:p w:rsidR="006B1FC0" w:rsidRPr="00503874" w:rsidRDefault="006B1FC0" w:rsidP="006B1FC0">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Thirty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30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 which may be enhanced to three times the monetary value of the amount of the bribe. Thus, under the principle of </w:t>
      </w:r>
      <w:r w:rsidRPr="00D729AE">
        <w:rPr>
          <w:rFonts w:ascii="Times New Roman" w:eastAsia="Arial" w:hAnsi="Times New Roman" w:cs="Times New Roman"/>
          <w:sz w:val="26"/>
          <w:szCs w:val="26"/>
          <w:u w:val="single"/>
        </w:rPr>
        <w:t>Apprendi</w:t>
      </w:r>
      <w:r w:rsidRPr="00503874">
        <w:rPr>
          <w:rFonts w:ascii="Times New Roman" w:eastAsia="Arial" w:hAnsi="Times New Roman" w:cs="Times New Roman"/>
          <w:sz w:val="26"/>
          <w:szCs w:val="26"/>
        </w:rPr>
        <w:t>, if the indictment alleges the amount of the bribe as a means of enhancing the maximum fine, the instruction should be modified to submit that issue to the jury. Consideration should also be given in such a case to the possible use of Special Instruction 10, Lesser Included Offense.</w:t>
      </w:r>
    </w:p>
    <w:p w:rsidR="006B1FC0" w:rsidRPr="00503874" w:rsidRDefault="006B1FC0" w:rsidP="006B1FC0">
      <w:pPr>
        <w:spacing w:after="0" w:line="240" w:lineRule="auto"/>
        <w:jc w:val="both"/>
        <w:rPr>
          <w:rFonts w:ascii="Times New Roman" w:eastAsia="Arial" w:hAnsi="Times New Roman"/>
          <w:sz w:val="26"/>
          <w:szCs w:val="26"/>
        </w:rPr>
      </w:pPr>
    </w:p>
    <w:p w:rsidR="006B1FC0" w:rsidRPr="00503874" w:rsidRDefault="006B1FC0" w:rsidP="006B1FC0">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 215</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provides that if the value of the bribe does not exceed $1,000, the Defendant is subject to imprisonment for not more than one year, i.e., a misdemeanor offense. </w:t>
      </w:r>
      <w:r w:rsidRPr="00D729AE">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Special Instruction 10, Lesser Included Offense.</w:t>
      </w:r>
    </w:p>
    <w:p w:rsidR="006B1FC0" w:rsidRPr="00503874" w:rsidRDefault="006B1FC0" w:rsidP="006B1FC0">
      <w:pPr>
        <w:spacing w:after="0" w:line="240" w:lineRule="auto"/>
        <w:jc w:val="both"/>
        <w:rPr>
          <w:rFonts w:ascii="Times New Roman" w:eastAsia="Arial" w:hAnsi="Times New Roman" w:cs="Times New Roman"/>
          <w:sz w:val="26"/>
          <w:szCs w:val="26"/>
        </w:rPr>
      </w:pPr>
    </w:p>
    <w:p w:rsidR="006B1FC0" w:rsidRPr="00503874" w:rsidRDefault="006B1FC0" w:rsidP="006B1FC0">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forfeiture provisions of 18 U.S.C. § 982 apply (18 U.S.C. § 982</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(A)) if the indictment has given notice under Federal Rule of Criminal Procedure 32.2 that the Government will seek forfeiture as part of the sentence. The principle of </w:t>
      </w:r>
      <w:r w:rsidRPr="00D729AE">
        <w:rPr>
          <w:rFonts w:ascii="Times New Roman" w:eastAsia="Arial" w:hAnsi="Times New Roman" w:cs="Times New Roman"/>
          <w:i/>
          <w:sz w:val="26"/>
          <w:szCs w:val="26"/>
        </w:rPr>
        <w:t>Apprendi</w:t>
      </w:r>
      <w:r w:rsidR="00D729AE" w:rsidRPr="00D729AE">
        <w:rPr>
          <w:rFonts w:ascii="Times New Roman" w:eastAsia="Arial" w:hAnsi="Times New Roman" w:cs="Times New Roman"/>
          <w:i/>
          <w:sz w:val="26"/>
          <w:szCs w:val="26"/>
        </w:rPr>
        <w:t xml:space="preserve"> v.</w:t>
      </w:r>
      <w:r w:rsidRPr="00D729AE">
        <w:rPr>
          <w:rFonts w:ascii="Times New Roman" w:eastAsia="Arial" w:hAnsi="Times New Roman" w:cs="Times New Roman"/>
          <w:i/>
          <w:sz w:val="26"/>
          <w:szCs w:val="26"/>
        </w:rPr>
        <w:t xml:space="preserve"> New Jersey</w:t>
      </w:r>
      <w:r w:rsidRPr="00503874">
        <w:rPr>
          <w:rFonts w:ascii="Times New Roman" w:eastAsia="Arial" w:hAnsi="Times New Roman" w:cs="Times New Roman"/>
          <w:sz w:val="26"/>
          <w:szCs w:val="26"/>
        </w:rPr>
        <w:t xml:space="preserve">, 530 U.S. 466, 120 S. Ct. 2348 (2000) does not apply to forfeiture proceedings following conviction, and the burden of proof on a forfeiture count is preponderance of the evidence. </w:t>
      </w:r>
      <w:r w:rsidRPr="00D729AE">
        <w:rPr>
          <w:rFonts w:ascii="Times New Roman" w:eastAsia="Arial" w:hAnsi="Times New Roman" w:cs="Times New Roman"/>
          <w:i/>
          <w:sz w:val="26"/>
          <w:szCs w:val="26"/>
        </w:rPr>
        <w:t>United States v. Cabeza</w:t>
      </w:r>
      <w:r w:rsidRPr="00503874">
        <w:rPr>
          <w:rFonts w:ascii="Times New Roman" w:eastAsia="Arial" w:hAnsi="Times New Roman" w:cs="Times New Roman"/>
          <w:sz w:val="26"/>
          <w:szCs w:val="26"/>
        </w:rPr>
        <w:t>, 258 F.3d 1256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w:t>
      </w:r>
      <w:r w:rsidR="00D729AE">
        <w:rPr>
          <w:rFonts w:ascii="Times New Roman" w:eastAsia="Arial" w:hAnsi="Times New Roman" w:cs="Times New Roman"/>
          <w:sz w:val="26"/>
          <w:szCs w:val="26"/>
        </w:rPr>
        <w:t>cuit</w:t>
      </w:r>
      <w:r w:rsidRPr="00503874">
        <w:rPr>
          <w:rFonts w:ascii="Times New Roman" w:eastAsia="Arial" w:hAnsi="Times New Roman" w:cs="Times New Roman"/>
          <w:sz w:val="26"/>
          <w:szCs w:val="26"/>
        </w:rPr>
        <w:t xml:space="preserve"> 2001).</w:t>
      </w:r>
    </w:p>
    <w:p w:rsidR="006B1FC0" w:rsidRPr="00503874" w:rsidRDefault="006B1FC0" w:rsidP="006B1FC0">
      <w:pPr>
        <w:spacing w:after="0" w:line="240" w:lineRule="auto"/>
        <w:jc w:val="both"/>
        <w:rPr>
          <w:rFonts w:ascii="Times New Roman" w:eastAsia="Arial" w:hAnsi="Times New Roman" w:cs="Times New Roman"/>
          <w:sz w:val="26"/>
          <w:szCs w:val="26"/>
        </w:rPr>
      </w:pPr>
    </w:p>
    <w:p w:rsidR="00725167" w:rsidRPr="006B1FC0" w:rsidRDefault="006B1FC0" w:rsidP="006B1FC0">
      <w:pPr>
        <w:spacing w:after="0" w:line="240" w:lineRule="auto"/>
        <w:jc w:val="both"/>
        <w:rPr>
          <w:rFonts w:ascii="Times New Roman" w:eastAsia="Arial" w:hAnsi="Times New Roman" w:cs="Times New Roman"/>
          <w:sz w:val="26"/>
          <w:szCs w:val="26"/>
        </w:rPr>
      </w:pPr>
      <w:r w:rsidRPr="00D729AE">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Trial Instruction 6 for use in submitting</w:t>
      </w:r>
      <w:r>
        <w:rPr>
          <w:rFonts w:ascii="Times New Roman" w:eastAsia="Arial" w:hAnsi="Times New Roman" w:cs="Times New Roman"/>
          <w:sz w:val="26"/>
          <w:szCs w:val="26"/>
        </w:rPr>
        <w:t xml:space="preserve"> forfeiture issues to the jury.</w:t>
      </w:r>
      <w:bookmarkEnd w:id="0"/>
    </w:p>
    <w:sectPr w:rsidR="00725167" w:rsidRPr="006B1F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9F6" w:rsidRDefault="00EF09F6" w:rsidP="00EF09F6">
      <w:pPr>
        <w:spacing w:after="0" w:line="240" w:lineRule="auto"/>
      </w:pPr>
      <w:r>
        <w:separator/>
      </w:r>
    </w:p>
  </w:endnote>
  <w:endnote w:type="continuationSeparator" w:id="0">
    <w:p w:rsidR="00EF09F6" w:rsidRDefault="00EF09F6" w:rsidP="00EF0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9F6" w:rsidRDefault="00EF09F6" w:rsidP="00EF09F6">
      <w:pPr>
        <w:spacing w:after="0" w:line="240" w:lineRule="auto"/>
      </w:pPr>
      <w:r>
        <w:separator/>
      </w:r>
    </w:p>
  </w:footnote>
  <w:footnote w:type="continuationSeparator" w:id="0">
    <w:p w:rsidR="00EF09F6" w:rsidRDefault="00EF09F6" w:rsidP="00EF09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E5B53"/>
    <w:rsid w:val="00236275"/>
    <w:rsid w:val="00245EF2"/>
    <w:rsid w:val="002604B9"/>
    <w:rsid w:val="003067A0"/>
    <w:rsid w:val="004C148A"/>
    <w:rsid w:val="00503A01"/>
    <w:rsid w:val="00511CE4"/>
    <w:rsid w:val="0056064A"/>
    <w:rsid w:val="005C4DB9"/>
    <w:rsid w:val="00615301"/>
    <w:rsid w:val="006179FB"/>
    <w:rsid w:val="00632C46"/>
    <w:rsid w:val="006667A5"/>
    <w:rsid w:val="006B1FC0"/>
    <w:rsid w:val="00725167"/>
    <w:rsid w:val="00780FDD"/>
    <w:rsid w:val="00783A2A"/>
    <w:rsid w:val="00791A2F"/>
    <w:rsid w:val="0081575C"/>
    <w:rsid w:val="008B4118"/>
    <w:rsid w:val="008C025F"/>
    <w:rsid w:val="008E4BA2"/>
    <w:rsid w:val="009458BA"/>
    <w:rsid w:val="009745AC"/>
    <w:rsid w:val="009F5DAD"/>
    <w:rsid w:val="00A355FD"/>
    <w:rsid w:val="00A66EA6"/>
    <w:rsid w:val="00AA01A6"/>
    <w:rsid w:val="00AC24E2"/>
    <w:rsid w:val="00AE20D4"/>
    <w:rsid w:val="00AF2C77"/>
    <w:rsid w:val="00B85D99"/>
    <w:rsid w:val="00B930F5"/>
    <w:rsid w:val="00BA1F2B"/>
    <w:rsid w:val="00BD01A4"/>
    <w:rsid w:val="00BE645C"/>
    <w:rsid w:val="00CC4195"/>
    <w:rsid w:val="00CD51F7"/>
    <w:rsid w:val="00CD734E"/>
    <w:rsid w:val="00CE7DC5"/>
    <w:rsid w:val="00CF4F9A"/>
    <w:rsid w:val="00D163A7"/>
    <w:rsid w:val="00D7262F"/>
    <w:rsid w:val="00D729AE"/>
    <w:rsid w:val="00DA00D9"/>
    <w:rsid w:val="00DC18AE"/>
    <w:rsid w:val="00DE7E97"/>
    <w:rsid w:val="00DE7F68"/>
    <w:rsid w:val="00E20CB0"/>
    <w:rsid w:val="00E31401"/>
    <w:rsid w:val="00E419F1"/>
    <w:rsid w:val="00E42DFC"/>
    <w:rsid w:val="00E627E0"/>
    <w:rsid w:val="00E85563"/>
    <w:rsid w:val="00EB1384"/>
    <w:rsid w:val="00EF09F6"/>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F0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9F6"/>
  </w:style>
  <w:style w:type="paragraph" w:styleId="Footer">
    <w:name w:val="footer"/>
    <w:basedOn w:val="Normal"/>
    <w:link w:val="FooterChar"/>
    <w:uiPriority w:val="99"/>
    <w:unhideWhenUsed/>
    <w:rsid w:val="00EF0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9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F0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9F6"/>
  </w:style>
  <w:style w:type="paragraph" w:styleId="Footer">
    <w:name w:val="footer"/>
    <w:basedOn w:val="Normal"/>
    <w:link w:val="FooterChar"/>
    <w:uiPriority w:val="99"/>
    <w:unhideWhenUsed/>
    <w:rsid w:val="00EF0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1829</Characters>
  <Application>Microsoft Office Word</Application>
  <DocSecurity>0</DocSecurity>
  <Lines>15</Lines>
  <Paragraphs>4</Paragraphs>
  <ScaleCrop>false</ScaleCrop>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2014-03-31T23:21:00Z</dcterms:created>
  <dcterms:modified xsi:type="dcterms:W3CDTF">2014-06-19T15:09:00Z</dcterms:modified>
</cp:coreProperties>
</file>