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618" w:rsidRDefault="00633618" w:rsidP="00633618">
      <w:pPr>
        <w:spacing w:after="0" w:line="240" w:lineRule="auto"/>
        <w:jc w:val="both"/>
        <w:rPr>
          <w:rFonts w:ascii="Times New Roman" w:eastAsia="Arial" w:hAnsi="Times New Roman"/>
          <w:sz w:val="26"/>
          <w:szCs w:val="26"/>
        </w:rPr>
      </w:pPr>
      <w:r>
        <w:rPr>
          <w:rFonts w:ascii="Times New Roman" w:eastAsia="Arial" w:hAnsi="Times New Roman"/>
          <w:b/>
          <w:sz w:val="26"/>
          <w:szCs w:val="26"/>
          <w:u w:val="single"/>
        </w:rPr>
        <w:t>ANNOTATIONS AND COMMENTS</w:t>
      </w:r>
    </w:p>
    <w:p w:rsidR="00633618" w:rsidRDefault="00633618" w:rsidP="00633618">
      <w:pPr>
        <w:spacing w:after="0" w:line="240" w:lineRule="auto"/>
        <w:jc w:val="both"/>
        <w:rPr>
          <w:rFonts w:ascii="Times New Roman" w:eastAsia="Arial" w:hAnsi="Times New Roman"/>
          <w:sz w:val="26"/>
          <w:szCs w:val="26"/>
        </w:rPr>
      </w:pPr>
    </w:p>
    <w:p w:rsidR="00633618" w:rsidRDefault="00633618" w:rsidP="00633618">
      <w:pPr>
        <w:spacing w:after="0" w:line="240" w:lineRule="auto"/>
        <w:jc w:val="both"/>
        <w:rPr>
          <w:rFonts w:ascii="Times New Roman" w:eastAsia="Arial" w:hAnsi="Times New Roman"/>
          <w:sz w:val="26"/>
          <w:szCs w:val="26"/>
        </w:rPr>
      </w:pPr>
      <w:r>
        <w:rPr>
          <w:rFonts w:ascii="Times New Roman" w:eastAsia="Arial" w:hAnsi="Times New Roman"/>
          <w:sz w:val="26"/>
          <w:szCs w:val="26"/>
        </w:rPr>
        <w:t>18 U.S.C. § 1951</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numberingChange w:id="0" w:author="Author" w:original="(a)"/>
        </w:fldChar>
      </w:r>
      <w:r>
        <w:rPr>
          <w:rFonts w:ascii="Times New Roman" w:eastAsia="Arial" w:hAnsi="Times New Roman"/>
          <w:sz w:val="26"/>
          <w:szCs w:val="26"/>
        </w:rPr>
        <w:t xml:space="preserve"> provides:</w:t>
      </w:r>
    </w:p>
    <w:p w:rsidR="00633618" w:rsidRDefault="00633618" w:rsidP="00633618">
      <w:pPr>
        <w:spacing w:after="0" w:line="240" w:lineRule="auto"/>
        <w:jc w:val="both"/>
        <w:rPr>
          <w:rFonts w:ascii="Times New Roman" w:eastAsia="Arial" w:hAnsi="Times New Roman"/>
          <w:sz w:val="26"/>
          <w:szCs w:val="26"/>
        </w:rPr>
      </w:pPr>
    </w:p>
    <w:p w:rsidR="00633618" w:rsidRDefault="00633618" w:rsidP="00633618">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numberingChange w:id="1" w:author="Author" w:original="(a)"/>
        </w:fldChar>
      </w:r>
      <w:r>
        <w:rPr>
          <w:rFonts w:ascii="Times New Roman" w:eastAsia="Arial" w:hAnsi="Times New Roman"/>
          <w:sz w:val="26"/>
          <w:szCs w:val="26"/>
        </w:rPr>
        <w:t xml:space="preserve"> Whoever in any way or degree obstructs, delays, or affects commerce or the movement of any ar</w:t>
      </w:r>
      <w:r w:rsidR="00791032">
        <w:rPr>
          <w:rFonts w:ascii="Times New Roman" w:eastAsia="Arial" w:hAnsi="Times New Roman"/>
          <w:sz w:val="26"/>
          <w:szCs w:val="26"/>
        </w:rPr>
        <w:t>ticle or commodity in commerce</w:t>
      </w:r>
      <w:proofErr w:type="gramStart"/>
      <w:r w:rsidR="00791032">
        <w:rPr>
          <w:rFonts w:ascii="Times New Roman" w:eastAsia="Arial" w:hAnsi="Times New Roman"/>
          <w:sz w:val="26"/>
          <w:szCs w:val="26"/>
        </w:rPr>
        <w:t>,</w:t>
      </w:r>
      <w:r>
        <w:rPr>
          <w:rFonts w:ascii="Times New Roman" w:eastAsia="Arial" w:hAnsi="Times New Roman"/>
          <w:sz w:val="26"/>
          <w:szCs w:val="26"/>
        </w:rPr>
        <w:t>…</w:t>
      </w:r>
      <w:proofErr w:type="gramEnd"/>
      <w:r>
        <w:rPr>
          <w:rFonts w:ascii="Times New Roman" w:eastAsia="Arial" w:hAnsi="Times New Roman"/>
          <w:sz w:val="26"/>
          <w:szCs w:val="26"/>
        </w:rPr>
        <w:t xml:space="preserve"> by extortion [shall be guilty of an offense against the United States].</w:t>
      </w:r>
    </w:p>
    <w:p w:rsidR="00633618" w:rsidRDefault="00633618" w:rsidP="00633618">
      <w:pPr>
        <w:spacing w:after="0" w:line="240" w:lineRule="auto"/>
        <w:jc w:val="both"/>
        <w:rPr>
          <w:rFonts w:ascii="Times New Roman" w:eastAsia="Arial" w:hAnsi="Times New Roman"/>
          <w:sz w:val="26"/>
          <w:szCs w:val="26"/>
        </w:rPr>
      </w:pPr>
    </w:p>
    <w:p w:rsidR="00633618" w:rsidRDefault="00633618" w:rsidP="00633618">
      <w:pPr>
        <w:spacing w:after="0" w:line="240" w:lineRule="auto"/>
        <w:jc w:val="both"/>
        <w:rPr>
          <w:rFonts w:ascii="Times New Roman" w:eastAsia="Arial" w:hAnsi="Times New Roman"/>
          <w:sz w:val="26"/>
          <w:szCs w:val="26"/>
        </w:rPr>
      </w:pPr>
      <w:r>
        <w:rPr>
          <w:rFonts w:ascii="Times New Roman" w:eastAsia="Arial" w:hAnsi="Times New Roman"/>
          <w:sz w:val="26"/>
          <w:szCs w:val="26"/>
        </w:rPr>
        <w:t>18 U.S.C. § 1951</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2 </w:instrText>
      </w:r>
      <w:r>
        <w:rPr>
          <w:rFonts w:ascii="Times New Roman" w:eastAsia="Arial" w:hAnsi="Times New Roman"/>
          <w:sz w:val="26"/>
          <w:szCs w:val="26"/>
        </w:rPr>
        <w:fldChar w:fldCharType="end">
          <w:numberingChange w:id="2" w:author="Author" w:original="(b)"/>
        </w:fldChar>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2 </w:instrText>
      </w:r>
      <w:r>
        <w:rPr>
          <w:rFonts w:ascii="Times New Roman" w:eastAsia="Arial" w:hAnsi="Times New Roman"/>
          <w:sz w:val="26"/>
          <w:szCs w:val="26"/>
        </w:rPr>
        <w:fldChar w:fldCharType="end">
          <w:numberingChange w:id="3" w:author="Author" w:original="(2)"/>
        </w:fldChar>
      </w:r>
      <w:r>
        <w:rPr>
          <w:rFonts w:ascii="Times New Roman" w:eastAsia="Arial" w:hAnsi="Times New Roman"/>
          <w:sz w:val="26"/>
          <w:szCs w:val="26"/>
        </w:rPr>
        <w:t xml:space="preserve"> provides:</w:t>
      </w:r>
    </w:p>
    <w:p w:rsidR="00633618" w:rsidRDefault="00633618" w:rsidP="00633618">
      <w:pPr>
        <w:spacing w:after="0" w:line="240" w:lineRule="auto"/>
        <w:jc w:val="both"/>
        <w:rPr>
          <w:rFonts w:ascii="Times New Roman" w:eastAsia="Arial" w:hAnsi="Times New Roman"/>
          <w:sz w:val="26"/>
          <w:szCs w:val="26"/>
        </w:rPr>
      </w:pPr>
    </w:p>
    <w:p w:rsidR="00633618" w:rsidRDefault="00633618" w:rsidP="00633618">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t>The term “extortion” means the obtaining of property from another, with his consent, induced by wrongful use of actual or threatened force, violence, or fear, or under color of official right.</w:t>
      </w:r>
    </w:p>
    <w:p w:rsidR="00633618" w:rsidRDefault="00633618" w:rsidP="00633618">
      <w:pPr>
        <w:spacing w:after="0" w:line="240" w:lineRule="auto"/>
        <w:ind w:right="360"/>
        <w:jc w:val="both"/>
        <w:rPr>
          <w:rFonts w:ascii="Times New Roman" w:eastAsia="Arial" w:hAnsi="Times New Roman"/>
          <w:sz w:val="26"/>
          <w:szCs w:val="26"/>
        </w:rPr>
      </w:pPr>
    </w:p>
    <w:p w:rsidR="00633618" w:rsidRDefault="00633618" w:rsidP="00633618">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Maximum Penalty: Twenty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20 </w:instrText>
      </w:r>
      <w:r>
        <w:rPr>
          <w:rFonts w:ascii="Times New Roman" w:eastAsia="Arial" w:hAnsi="Times New Roman"/>
          <w:sz w:val="26"/>
          <w:szCs w:val="26"/>
        </w:rPr>
        <w:fldChar w:fldCharType="end">
          <w:numberingChange w:id="4" w:author="Author" w:original="(20)"/>
        </w:fldChar>
      </w:r>
      <w:r>
        <w:rPr>
          <w:rFonts w:ascii="Times New Roman" w:eastAsia="Arial" w:hAnsi="Times New Roman"/>
          <w:sz w:val="26"/>
          <w:szCs w:val="26"/>
        </w:rPr>
        <w:t xml:space="preserve"> years imprisonment and applicable fine.</w:t>
      </w:r>
    </w:p>
    <w:p w:rsidR="00633618" w:rsidRDefault="00633618" w:rsidP="00633618">
      <w:pPr>
        <w:spacing w:after="0" w:line="240" w:lineRule="auto"/>
        <w:jc w:val="both"/>
        <w:rPr>
          <w:rFonts w:ascii="Times New Roman" w:eastAsia="Arial" w:hAnsi="Times New Roman"/>
          <w:sz w:val="26"/>
          <w:szCs w:val="26"/>
        </w:rPr>
      </w:pPr>
    </w:p>
    <w:p w:rsidR="00633618" w:rsidRDefault="00633618" w:rsidP="00633618">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In </w:t>
      </w:r>
      <w:r w:rsidRPr="001D6329">
        <w:rPr>
          <w:rFonts w:ascii="Times New Roman" w:eastAsia="Arial" w:hAnsi="Times New Roman"/>
          <w:i/>
          <w:sz w:val="26"/>
          <w:szCs w:val="26"/>
        </w:rPr>
        <w:t>United States v. Martinez</w:t>
      </w:r>
      <w:r>
        <w:rPr>
          <w:rFonts w:ascii="Times New Roman" w:eastAsia="Arial" w:hAnsi="Times New Roman"/>
          <w:sz w:val="26"/>
          <w:szCs w:val="26"/>
        </w:rPr>
        <w:t>, 14 F.3d 543 (11</w:t>
      </w:r>
      <w:r w:rsidRPr="0046309B">
        <w:rPr>
          <w:rFonts w:ascii="Times New Roman" w:eastAsia="Arial" w:hAnsi="Times New Roman"/>
          <w:sz w:val="26"/>
          <w:szCs w:val="26"/>
          <w:vertAlign w:val="superscript"/>
        </w:rPr>
        <w:t>th</w:t>
      </w:r>
      <w:r>
        <w:rPr>
          <w:rFonts w:ascii="Times New Roman" w:eastAsia="Arial" w:hAnsi="Times New Roman"/>
          <w:sz w:val="26"/>
          <w:szCs w:val="26"/>
        </w:rPr>
        <w:t xml:space="preserve"> Cir. 1994), the Eleventh Circuit acknowledged that a Hobbs Act conviction for extortion under color of official right requires proof of a quid pro quo. </w:t>
      </w:r>
      <w:r w:rsidRPr="001D6329">
        <w:rPr>
          <w:rFonts w:ascii="Times New Roman" w:eastAsia="Arial" w:hAnsi="Times New Roman"/>
          <w:i/>
          <w:sz w:val="26"/>
          <w:szCs w:val="26"/>
        </w:rPr>
        <w:t>See Evans v. United States</w:t>
      </w:r>
      <w:r>
        <w:rPr>
          <w:rFonts w:ascii="Times New Roman" w:eastAsia="Arial" w:hAnsi="Times New Roman"/>
          <w:sz w:val="26"/>
          <w:szCs w:val="26"/>
        </w:rPr>
        <w:t xml:space="preserve">, 504 U.S. 255, 112 S. Ct. 1881, 119 L. Ed. 2d 57 (1992); </w:t>
      </w:r>
      <w:r w:rsidRPr="001D6329">
        <w:rPr>
          <w:rFonts w:ascii="Times New Roman" w:eastAsia="Arial" w:hAnsi="Times New Roman"/>
          <w:i/>
          <w:sz w:val="26"/>
          <w:szCs w:val="26"/>
        </w:rPr>
        <w:t>McCormick v. United States</w:t>
      </w:r>
      <w:r>
        <w:rPr>
          <w:rFonts w:ascii="Times New Roman" w:eastAsia="Arial" w:hAnsi="Times New Roman"/>
          <w:sz w:val="26"/>
          <w:szCs w:val="26"/>
        </w:rPr>
        <w:t>, 500 U.S. 257, 111 S. Ct. 1807, 114 L. Ed. 2d 307 (1991). Fulfillment of the quid pro quo is not an element of the offense.</w:t>
      </w:r>
      <w:r w:rsidR="00EA47EF">
        <w:rPr>
          <w:rFonts w:ascii="Times New Roman" w:eastAsia="Arial" w:hAnsi="Times New Roman"/>
          <w:sz w:val="26"/>
          <w:szCs w:val="26"/>
        </w:rPr>
        <w:t xml:space="preserve">  The quo in </w:t>
      </w:r>
      <w:proofErr w:type="gramStart"/>
      <w:r w:rsidR="00EA47EF">
        <w:rPr>
          <w:rFonts w:ascii="Times New Roman" w:eastAsia="Arial" w:hAnsi="Times New Roman"/>
          <w:sz w:val="26"/>
          <w:szCs w:val="26"/>
        </w:rPr>
        <w:t>a Hobbs</w:t>
      </w:r>
      <w:proofErr w:type="gramEnd"/>
      <w:r w:rsidR="00EA47EF">
        <w:rPr>
          <w:rFonts w:ascii="Times New Roman" w:eastAsia="Arial" w:hAnsi="Times New Roman"/>
          <w:sz w:val="26"/>
          <w:szCs w:val="26"/>
        </w:rPr>
        <w:t xml:space="preserve"> Act extortion under color of official right prosecution is doing or not doing or agreeing to do or not do an official act.  The definition of official act is taken from </w:t>
      </w:r>
      <w:r w:rsidR="00EA47EF" w:rsidRPr="00EA47EF">
        <w:rPr>
          <w:rFonts w:ascii="Times New Roman" w:eastAsia="Arial" w:hAnsi="Times New Roman"/>
          <w:i/>
          <w:sz w:val="26"/>
          <w:szCs w:val="26"/>
        </w:rPr>
        <w:t>McDonnell v. United States</w:t>
      </w:r>
      <w:r w:rsidR="00EA47EF">
        <w:rPr>
          <w:rFonts w:ascii="Times New Roman" w:eastAsia="Arial" w:hAnsi="Times New Roman"/>
          <w:sz w:val="26"/>
          <w:szCs w:val="26"/>
        </w:rPr>
        <w:t>, 136 S. Ct. 2355 (2016).</w:t>
      </w:r>
    </w:p>
    <w:p w:rsidR="00633618" w:rsidRDefault="00633618" w:rsidP="00633618">
      <w:pPr>
        <w:spacing w:after="0" w:line="240" w:lineRule="auto"/>
        <w:jc w:val="both"/>
        <w:rPr>
          <w:rFonts w:ascii="Times New Roman" w:eastAsia="Arial" w:hAnsi="Times New Roman"/>
          <w:sz w:val="26"/>
          <w:szCs w:val="26"/>
        </w:rPr>
      </w:pPr>
    </w:p>
    <w:p w:rsidR="00633618" w:rsidRDefault="00633618" w:rsidP="00633618">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In </w:t>
      </w:r>
      <w:r w:rsidRPr="001D6329">
        <w:rPr>
          <w:rFonts w:ascii="Times New Roman" w:eastAsia="Arial" w:hAnsi="Times New Roman"/>
          <w:i/>
          <w:sz w:val="26"/>
          <w:szCs w:val="26"/>
        </w:rPr>
        <w:t>United States v. Kaplan</w:t>
      </w:r>
      <w:r>
        <w:rPr>
          <w:rFonts w:ascii="Times New Roman" w:eastAsia="Arial" w:hAnsi="Times New Roman"/>
          <w:sz w:val="26"/>
          <w:szCs w:val="26"/>
        </w:rPr>
        <w:t>, 171 F.3d 1351, 1356-58 (11</w:t>
      </w:r>
      <w:r w:rsidRPr="0046309B">
        <w:rPr>
          <w:rFonts w:ascii="Times New Roman" w:eastAsia="Arial" w:hAnsi="Times New Roman"/>
          <w:sz w:val="26"/>
          <w:szCs w:val="26"/>
          <w:vertAlign w:val="superscript"/>
        </w:rPr>
        <w:t>th</w:t>
      </w:r>
      <w:r>
        <w:rPr>
          <w:rFonts w:ascii="Times New Roman" w:eastAsia="Arial" w:hAnsi="Times New Roman"/>
          <w:sz w:val="26"/>
          <w:szCs w:val="26"/>
        </w:rPr>
        <w:t xml:space="preserve"> Cir. 1999), the Eleventh Circuit held that under § 1951 the </w:t>
      </w:r>
      <w:proofErr w:type="spellStart"/>
      <w:r w:rsidR="001D6329">
        <w:rPr>
          <w:rFonts w:ascii="Times New Roman" w:eastAsia="Arial" w:hAnsi="Times New Roman"/>
          <w:sz w:val="26"/>
          <w:szCs w:val="26"/>
        </w:rPr>
        <w:t>a</w:t>
      </w:r>
      <w:r>
        <w:rPr>
          <w:rFonts w:ascii="Times New Roman" w:eastAsia="Arial" w:hAnsi="Times New Roman"/>
          <w:sz w:val="26"/>
          <w:szCs w:val="26"/>
        </w:rPr>
        <w:t>ffect</w:t>
      </w:r>
      <w:proofErr w:type="spellEnd"/>
      <w:r>
        <w:rPr>
          <w:rFonts w:ascii="Times New Roman" w:eastAsia="Arial" w:hAnsi="Times New Roman"/>
          <w:sz w:val="26"/>
          <w:szCs w:val="26"/>
        </w:rPr>
        <w:t xml:space="preserve"> on commerce need not be adverse. The effect on commerce can involve activities that occur outside of the United States. </w:t>
      </w:r>
      <w:r w:rsidRPr="001D6329">
        <w:rPr>
          <w:rFonts w:ascii="Times New Roman" w:eastAsia="Arial" w:hAnsi="Times New Roman"/>
          <w:i/>
          <w:sz w:val="26"/>
          <w:szCs w:val="26"/>
        </w:rPr>
        <w:t>See, e.g., Kaplan</w:t>
      </w:r>
      <w:r>
        <w:rPr>
          <w:rFonts w:ascii="Times New Roman" w:eastAsia="Arial" w:hAnsi="Times New Roman"/>
          <w:sz w:val="26"/>
          <w:szCs w:val="26"/>
        </w:rPr>
        <w:t>, 171 F.3d at 1355-58 (use of interstate communication facilities and claimed travel to carry out extortion scheme’s object, which was the movement of substantial funds from Panama to Florida, constituted sufficient affect under § 1951).</w:t>
      </w:r>
    </w:p>
    <w:p w:rsidR="00633618" w:rsidRDefault="00633618" w:rsidP="00633618">
      <w:pPr>
        <w:spacing w:after="0" w:line="240" w:lineRule="auto"/>
        <w:jc w:val="both"/>
        <w:rPr>
          <w:rFonts w:ascii="Times New Roman" w:eastAsia="Arial" w:hAnsi="Times New Roman"/>
          <w:sz w:val="26"/>
          <w:szCs w:val="26"/>
        </w:rPr>
      </w:pPr>
    </w:p>
    <w:p w:rsidR="00633618" w:rsidRDefault="00633618" w:rsidP="00633618">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The commerce nexus for an attempt or conspiracy under § 1951 can be shown by evidence of a potential impact on commerce or by evidence of an actual, de minimis impact on commerce. </w:t>
      </w:r>
      <w:proofErr w:type="gramStart"/>
      <w:r w:rsidRPr="001D6329">
        <w:rPr>
          <w:rFonts w:ascii="Times New Roman" w:eastAsia="Arial" w:hAnsi="Times New Roman"/>
          <w:i/>
          <w:sz w:val="26"/>
          <w:szCs w:val="26"/>
        </w:rPr>
        <w:t>Kaplan</w:t>
      </w:r>
      <w:r>
        <w:rPr>
          <w:rFonts w:ascii="Times New Roman" w:eastAsia="Arial" w:hAnsi="Times New Roman"/>
          <w:sz w:val="26"/>
          <w:szCs w:val="26"/>
        </w:rPr>
        <w:t>, 171 F.3d at 1354 (citations omitted).</w:t>
      </w:r>
      <w:proofErr w:type="gramEnd"/>
      <w:r>
        <w:rPr>
          <w:rFonts w:ascii="Times New Roman" w:eastAsia="Arial" w:hAnsi="Times New Roman"/>
          <w:sz w:val="26"/>
          <w:szCs w:val="26"/>
        </w:rPr>
        <w:t xml:space="preserve"> In the case of a substantive offense, the impact on commerce need not be substantial; it can be minimal. </w:t>
      </w:r>
      <w:r w:rsidRPr="001D6329">
        <w:rPr>
          <w:rFonts w:ascii="Times New Roman" w:eastAsia="Arial" w:hAnsi="Times New Roman"/>
          <w:i/>
          <w:sz w:val="26"/>
          <w:szCs w:val="26"/>
        </w:rPr>
        <w:t>See id.; see also United States v. Le</w:t>
      </w:r>
      <w:r>
        <w:rPr>
          <w:rFonts w:ascii="Times New Roman" w:eastAsia="Arial" w:hAnsi="Times New Roman"/>
          <w:sz w:val="26"/>
          <w:szCs w:val="26"/>
        </w:rPr>
        <w:t>, 256 F.3d 1229 (11</w:t>
      </w:r>
      <w:r w:rsidRPr="0046309B">
        <w:rPr>
          <w:rFonts w:ascii="Times New Roman" w:eastAsia="Arial" w:hAnsi="Times New Roman"/>
          <w:sz w:val="26"/>
          <w:szCs w:val="26"/>
          <w:vertAlign w:val="superscript"/>
        </w:rPr>
        <w:t>th</w:t>
      </w:r>
      <w:r>
        <w:rPr>
          <w:rFonts w:ascii="Times New Roman" w:eastAsia="Arial" w:hAnsi="Times New Roman"/>
          <w:sz w:val="26"/>
          <w:szCs w:val="26"/>
        </w:rPr>
        <w:t xml:space="preserve"> Cir. 2001); </w:t>
      </w:r>
      <w:r w:rsidRPr="001D6329">
        <w:rPr>
          <w:rFonts w:ascii="Times New Roman" w:eastAsia="Arial" w:hAnsi="Times New Roman"/>
          <w:i/>
          <w:sz w:val="26"/>
          <w:szCs w:val="26"/>
        </w:rPr>
        <w:t>U</w:t>
      </w:r>
      <w:r w:rsidR="001D6329">
        <w:rPr>
          <w:rFonts w:ascii="Times New Roman" w:eastAsia="Arial" w:hAnsi="Times New Roman"/>
          <w:i/>
          <w:sz w:val="26"/>
          <w:szCs w:val="26"/>
        </w:rPr>
        <w:t>.S.</w:t>
      </w:r>
      <w:r w:rsidRPr="001D6329">
        <w:rPr>
          <w:rFonts w:ascii="Times New Roman" w:eastAsia="Arial" w:hAnsi="Times New Roman"/>
          <w:i/>
          <w:sz w:val="26"/>
          <w:szCs w:val="26"/>
        </w:rPr>
        <w:t xml:space="preserve"> v. Verbitskaya</w:t>
      </w:r>
      <w:r>
        <w:rPr>
          <w:rFonts w:ascii="Times New Roman" w:eastAsia="Arial" w:hAnsi="Times New Roman"/>
          <w:sz w:val="26"/>
          <w:szCs w:val="26"/>
        </w:rPr>
        <w:t>, 405 F.3d 1324 (11</w:t>
      </w:r>
      <w:r w:rsidRPr="0046309B">
        <w:rPr>
          <w:rFonts w:ascii="Times New Roman" w:eastAsia="Arial" w:hAnsi="Times New Roman"/>
          <w:sz w:val="26"/>
          <w:szCs w:val="26"/>
          <w:vertAlign w:val="superscript"/>
        </w:rPr>
        <w:t>th</w:t>
      </w:r>
      <w:r>
        <w:rPr>
          <w:rFonts w:ascii="Times New Roman" w:eastAsia="Arial" w:hAnsi="Times New Roman"/>
          <w:sz w:val="26"/>
          <w:szCs w:val="26"/>
        </w:rPr>
        <w:t xml:space="preserve"> Cir. 2005) (jurisdictional element can be met simply by showing this crime had a minimal effect on commerce); </w:t>
      </w:r>
      <w:r w:rsidRPr="001D6329">
        <w:rPr>
          <w:rFonts w:ascii="Times New Roman" w:eastAsia="Arial" w:hAnsi="Times New Roman"/>
          <w:i/>
          <w:sz w:val="26"/>
          <w:szCs w:val="26"/>
        </w:rPr>
        <w:t>U</w:t>
      </w:r>
      <w:r w:rsidR="001D6329">
        <w:rPr>
          <w:rFonts w:ascii="Times New Roman" w:eastAsia="Arial" w:hAnsi="Times New Roman"/>
          <w:i/>
          <w:sz w:val="26"/>
          <w:szCs w:val="26"/>
        </w:rPr>
        <w:t>.S.</w:t>
      </w:r>
      <w:r w:rsidRPr="001D6329">
        <w:rPr>
          <w:rFonts w:ascii="Times New Roman" w:eastAsia="Arial" w:hAnsi="Times New Roman"/>
          <w:i/>
          <w:sz w:val="26"/>
          <w:szCs w:val="26"/>
        </w:rPr>
        <w:t xml:space="preserve"> v. White</w:t>
      </w:r>
      <w:r>
        <w:rPr>
          <w:rFonts w:ascii="Times New Roman" w:eastAsia="Arial" w:hAnsi="Times New Roman"/>
          <w:sz w:val="26"/>
          <w:szCs w:val="26"/>
        </w:rPr>
        <w:t>, No. 07-11793, 2007 U.S. App. LEXIS 27819 (11</w:t>
      </w:r>
      <w:r w:rsidRPr="0046309B">
        <w:rPr>
          <w:rFonts w:ascii="Times New Roman" w:eastAsia="Arial" w:hAnsi="Times New Roman"/>
          <w:sz w:val="26"/>
          <w:szCs w:val="26"/>
          <w:vertAlign w:val="superscript"/>
        </w:rPr>
        <w:t>th</w:t>
      </w:r>
      <w:r>
        <w:rPr>
          <w:rFonts w:ascii="Times New Roman" w:eastAsia="Arial" w:hAnsi="Times New Roman"/>
          <w:sz w:val="26"/>
          <w:szCs w:val="26"/>
        </w:rPr>
        <w:t xml:space="preserve"> Cir. Nov. 29, 2007) (jurisdictional element can be met simply by showing this crime had a minimal effect on commerce); </w:t>
      </w:r>
      <w:r w:rsidRPr="001D6329">
        <w:rPr>
          <w:rFonts w:ascii="Times New Roman" w:eastAsia="Arial" w:hAnsi="Times New Roman"/>
          <w:i/>
          <w:sz w:val="26"/>
          <w:szCs w:val="26"/>
        </w:rPr>
        <w:t>U</w:t>
      </w:r>
      <w:r w:rsidR="001D6329">
        <w:rPr>
          <w:rFonts w:ascii="Times New Roman" w:eastAsia="Arial" w:hAnsi="Times New Roman"/>
          <w:i/>
          <w:sz w:val="26"/>
          <w:szCs w:val="26"/>
        </w:rPr>
        <w:t>.S.</w:t>
      </w:r>
      <w:r w:rsidRPr="001D6329">
        <w:rPr>
          <w:rFonts w:ascii="Times New Roman" w:eastAsia="Arial" w:hAnsi="Times New Roman"/>
          <w:i/>
          <w:sz w:val="26"/>
          <w:szCs w:val="26"/>
        </w:rPr>
        <w:t xml:space="preserve"> v. Mathis</w:t>
      </w:r>
      <w:r>
        <w:rPr>
          <w:rFonts w:ascii="Times New Roman" w:eastAsia="Arial" w:hAnsi="Times New Roman"/>
          <w:sz w:val="26"/>
          <w:szCs w:val="26"/>
        </w:rPr>
        <w:t xml:space="preserve">, 186 F. </w:t>
      </w:r>
      <w:proofErr w:type="spellStart"/>
      <w:r>
        <w:rPr>
          <w:rFonts w:ascii="Times New Roman" w:eastAsia="Arial" w:hAnsi="Times New Roman"/>
          <w:sz w:val="26"/>
          <w:szCs w:val="26"/>
        </w:rPr>
        <w:t>App</w:t>
      </w:r>
      <w:r w:rsidR="00EA47EF">
        <w:rPr>
          <w:rFonts w:ascii="Times New Roman" w:eastAsia="Arial" w:hAnsi="Times New Roman"/>
          <w:sz w:val="26"/>
          <w:szCs w:val="26"/>
        </w:rPr>
        <w:t>’</w:t>
      </w:r>
      <w:r>
        <w:rPr>
          <w:rFonts w:ascii="Times New Roman" w:eastAsia="Arial" w:hAnsi="Times New Roman"/>
          <w:sz w:val="26"/>
          <w:szCs w:val="26"/>
        </w:rPr>
        <w:t>x</w:t>
      </w:r>
      <w:proofErr w:type="spellEnd"/>
      <w:r>
        <w:rPr>
          <w:rFonts w:ascii="Times New Roman" w:eastAsia="Arial" w:hAnsi="Times New Roman"/>
          <w:sz w:val="26"/>
          <w:szCs w:val="26"/>
        </w:rPr>
        <w:t xml:space="preserve"> 971 (11</w:t>
      </w:r>
      <w:r w:rsidRPr="0046309B">
        <w:rPr>
          <w:rFonts w:ascii="Times New Roman" w:eastAsia="Arial" w:hAnsi="Times New Roman"/>
          <w:sz w:val="26"/>
          <w:szCs w:val="26"/>
          <w:vertAlign w:val="superscript"/>
        </w:rPr>
        <w:t>th</w:t>
      </w:r>
      <w:r>
        <w:rPr>
          <w:rFonts w:ascii="Times New Roman" w:eastAsia="Arial" w:hAnsi="Times New Roman"/>
          <w:sz w:val="26"/>
          <w:szCs w:val="26"/>
        </w:rPr>
        <w:t xml:space="preserve"> Cir. 2006); </w:t>
      </w:r>
      <w:r w:rsidRPr="001D6329">
        <w:rPr>
          <w:rFonts w:ascii="Times New Roman" w:eastAsia="Arial" w:hAnsi="Times New Roman"/>
          <w:i/>
          <w:sz w:val="26"/>
          <w:szCs w:val="26"/>
        </w:rPr>
        <w:t>U</w:t>
      </w:r>
      <w:r w:rsidR="001D6329">
        <w:rPr>
          <w:rFonts w:ascii="Times New Roman" w:eastAsia="Arial" w:hAnsi="Times New Roman"/>
          <w:i/>
          <w:sz w:val="26"/>
          <w:szCs w:val="26"/>
        </w:rPr>
        <w:t xml:space="preserve">.S. </w:t>
      </w:r>
      <w:r w:rsidRPr="001D6329">
        <w:rPr>
          <w:rFonts w:ascii="Times New Roman" w:eastAsia="Arial" w:hAnsi="Times New Roman"/>
          <w:i/>
          <w:sz w:val="26"/>
          <w:szCs w:val="26"/>
        </w:rPr>
        <w:t>v. Stamps</w:t>
      </w:r>
      <w:r>
        <w:rPr>
          <w:rFonts w:ascii="Times New Roman" w:eastAsia="Arial" w:hAnsi="Times New Roman"/>
          <w:sz w:val="26"/>
          <w:szCs w:val="26"/>
        </w:rPr>
        <w:t xml:space="preserve">, 201 Fed. </w:t>
      </w:r>
      <w:proofErr w:type="gramStart"/>
      <w:r>
        <w:rPr>
          <w:rFonts w:ascii="Times New Roman" w:eastAsia="Arial" w:hAnsi="Times New Roman"/>
          <w:sz w:val="26"/>
          <w:szCs w:val="26"/>
        </w:rPr>
        <w:t>Appx.</w:t>
      </w:r>
      <w:proofErr w:type="gramEnd"/>
      <w:r>
        <w:rPr>
          <w:rFonts w:ascii="Times New Roman" w:eastAsia="Arial" w:hAnsi="Times New Roman"/>
          <w:sz w:val="26"/>
          <w:szCs w:val="26"/>
        </w:rPr>
        <w:t xml:space="preserve"> </w:t>
      </w:r>
      <w:proofErr w:type="gramStart"/>
      <w:r>
        <w:rPr>
          <w:rFonts w:ascii="Times New Roman" w:eastAsia="Arial" w:hAnsi="Times New Roman"/>
          <w:sz w:val="26"/>
          <w:szCs w:val="26"/>
        </w:rPr>
        <w:t>759 (11</w:t>
      </w:r>
      <w:r w:rsidRPr="0046309B">
        <w:rPr>
          <w:rFonts w:ascii="Times New Roman" w:eastAsia="Arial" w:hAnsi="Times New Roman"/>
          <w:sz w:val="26"/>
          <w:szCs w:val="26"/>
          <w:vertAlign w:val="superscript"/>
        </w:rPr>
        <w:t>th</w:t>
      </w:r>
      <w:r>
        <w:rPr>
          <w:rFonts w:ascii="Times New Roman" w:eastAsia="Arial" w:hAnsi="Times New Roman"/>
          <w:sz w:val="26"/>
          <w:szCs w:val="26"/>
        </w:rPr>
        <w:t xml:space="preserve"> Cir. 2006).</w:t>
      </w:r>
      <w:proofErr w:type="gramEnd"/>
    </w:p>
    <w:p w:rsidR="00633618" w:rsidRDefault="00633618" w:rsidP="00633618">
      <w:pPr>
        <w:spacing w:after="0" w:line="240" w:lineRule="auto"/>
        <w:jc w:val="both"/>
        <w:rPr>
          <w:rFonts w:ascii="Times New Roman" w:eastAsia="Arial" w:hAnsi="Times New Roman"/>
          <w:sz w:val="26"/>
          <w:szCs w:val="26"/>
        </w:rPr>
      </w:pPr>
    </w:p>
    <w:p w:rsidR="00725167" w:rsidRPr="00633618" w:rsidRDefault="00633618" w:rsidP="00633618">
      <w:pPr>
        <w:spacing w:after="0" w:line="240" w:lineRule="auto"/>
        <w:jc w:val="both"/>
        <w:rPr>
          <w:rFonts w:ascii="Times New Roman" w:eastAsia="Arial" w:hAnsi="Times New Roman"/>
          <w:sz w:val="26"/>
          <w:szCs w:val="26"/>
        </w:rPr>
      </w:pPr>
      <w:r>
        <w:rPr>
          <w:rFonts w:ascii="Times New Roman" w:eastAsia="Arial" w:hAnsi="Times New Roman"/>
          <w:sz w:val="26"/>
          <w:szCs w:val="26"/>
        </w:rPr>
        <w:lastRenderedPageBreak/>
        <w:t xml:space="preserve">In </w:t>
      </w:r>
      <w:r w:rsidRPr="001D6329">
        <w:rPr>
          <w:rFonts w:ascii="Times New Roman" w:eastAsia="Arial" w:hAnsi="Times New Roman"/>
          <w:i/>
          <w:sz w:val="26"/>
          <w:szCs w:val="26"/>
        </w:rPr>
        <w:t>U</w:t>
      </w:r>
      <w:r w:rsidR="001D6329">
        <w:rPr>
          <w:rFonts w:ascii="Times New Roman" w:eastAsia="Arial" w:hAnsi="Times New Roman"/>
          <w:i/>
          <w:sz w:val="26"/>
          <w:szCs w:val="26"/>
        </w:rPr>
        <w:t>.S.</w:t>
      </w:r>
      <w:r w:rsidRPr="001D6329">
        <w:rPr>
          <w:rFonts w:ascii="Times New Roman" w:eastAsia="Arial" w:hAnsi="Times New Roman"/>
          <w:i/>
          <w:sz w:val="26"/>
          <w:szCs w:val="26"/>
        </w:rPr>
        <w:t xml:space="preserve"> v. Taylor</w:t>
      </w:r>
      <w:r>
        <w:rPr>
          <w:rFonts w:ascii="Times New Roman" w:eastAsia="Arial" w:hAnsi="Times New Roman"/>
          <w:sz w:val="26"/>
          <w:szCs w:val="26"/>
        </w:rPr>
        <w:t>, 480 F.3d 1025 (11</w:t>
      </w:r>
      <w:r w:rsidRPr="0046309B">
        <w:rPr>
          <w:rFonts w:ascii="Times New Roman" w:eastAsia="Arial" w:hAnsi="Times New Roman"/>
          <w:sz w:val="26"/>
          <w:szCs w:val="26"/>
          <w:vertAlign w:val="superscript"/>
        </w:rPr>
        <w:t>th</w:t>
      </w:r>
      <w:r>
        <w:rPr>
          <w:rFonts w:ascii="Times New Roman" w:eastAsia="Arial" w:hAnsi="Times New Roman"/>
          <w:sz w:val="26"/>
          <w:szCs w:val="26"/>
        </w:rPr>
        <w:t xml:space="preserve"> Cir. 2007), the Eleventh Circuit held that the jurisdictional element is met even when the object of a planned robbery (i.e. drugs in a sting operation) or its victims are fi</w:t>
      </w:r>
      <w:bookmarkStart w:id="5" w:name="_GoBack"/>
      <w:bookmarkEnd w:id="5"/>
      <w:r>
        <w:rPr>
          <w:rFonts w:ascii="Times New Roman" w:eastAsia="Arial" w:hAnsi="Times New Roman"/>
          <w:sz w:val="26"/>
          <w:szCs w:val="26"/>
        </w:rPr>
        <w:t>ctional.</w:t>
      </w:r>
    </w:p>
    <w:sectPr w:rsidR="00725167" w:rsidRPr="006336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49A" w:rsidRDefault="0039149A" w:rsidP="0039149A">
      <w:pPr>
        <w:spacing w:after="0" w:line="240" w:lineRule="auto"/>
      </w:pPr>
      <w:r>
        <w:separator/>
      </w:r>
    </w:p>
  </w:endnote>
  <w:endnote w:type="continuationSeparator" w:id="0">
    <w:p w:rsidR="0039149A" w:rsidRDefault="0039149A" w:rsidP="00391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49A" w:rsidRDefault="0039149A" w:rsidP="0039149A">
      <w:pPr>
        <w:spacing w:after="0" w:line="240" w:lineRule="auto"/>
      </w:pPr>
      <w:r>
        <w:separator/>
      </w:r>
    </w:p>
  </w:footnote>
  <w:footnote w:type="continuationSeparator" w:id="0">
    <w:p w:rsidR="0039149A" w:rsidRDefault="0039149A" w:rsidP="003914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trackRevision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161B0"/>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110446"/>
    <w:rsid w:val="001217D5"/>
    <w:rsid w:val="0012744C"/>
    <w:rsid w:val="00135397"/>
    <w:rsid w:val="00137BA2"/>
    <w:rsid w:val="00144B24"/>
    <w:rsid w:val="00157747"/>
    <w:rsid w:val="00166AB9"/>
    <w:rsid w:val="00194E82"/>
    <w:rsid w:val="001D6329"/>
    <w:rsid w:val="001E3479"/>
    <w:rsid w:val="001E4EF8"/>
    <w:rsid w:val="001E5B53"/>
    <w:rsid w:val="002077C3"/>
    <w:rsid w:val="002161E7"/>
    <w:rsid w:val="002329BF"/>
    <w:rsid w:val="00233997"/>
    <w:rsid w:val="00236275"/>
    <w:rsid w:val="00245EF2"/>
    <w:rsid w:val="002604B9"/>
    <w:rsid w:val="00290544"/>
    <w:rsid w:val="002D2202"/>
    <w:rsid w:val="003067A0"/>
    <w:rsid w:val="00314335"/>
    <w:rsid w:val="00372806"/>
    <w:rsid w:val="0039149A"/>
    <w:rsid w:val="003A75E9"/>
    <w:rsid w:val="003B0729"/>
    <w:rsid w:val="003B09A8"/>
    <w:rsid w:val="003D6207"/>
    <w:rsid w:val="003E764C"/>
    <w:rsid w:val="00406A43"/>
    <w:rsid w:val="00431B02"/>
    <w:rsid w:val="00465F35"/>
    <w:rsid w:val="00483B81"/>
    <w:rsid w:val="004A1AAC"/>
    <w:rsid w:val="004A354F"/>
    <w:rsid w:val="004C148A"/>
    <w:rsid w:val="004C531E"/>
    <w:rsid w:val="004D06A2"/>
    <w:rsid w:val="00503A01"/>
    <w:rsid w:val="00511CE4"/>
    <w:rsid w:val="00543EBC"/>
    <w:rsid w:val="00557D8A"/>
    <w:rsid w:val="0056064A"/>
    <w:rsid w:val="00565EF7"/>
    <w:rsid w:val="00586722"/>
    <w:rsid w:val="005B45D9"/>
    <w:rsid w:val="005C4DB9"/>
    <w:rsid w:val="00615301"/>
    <w:rsid w:val="0061645E"/>
    <w:rsid w:val="006179FB"/>
    <w:rsid w:val="00632C46"/>
    <w:rsid w:val="00633618"/>
    <w:rsid w:val="00636B96"/>
    <w:rsid w:val="006B1FC0"/>
    <w:rsid w:val="006C204A"/>
    <w:rsid w:val="00725167"/>
    <w:rsid w:val="00780FDD"/>
    <w:rsid w:val="00783A2A"/>
    <w:rsid w:val="00791032"/>
    <w:rsid w:val="007C4B9C"/>
    <w:rsid w:val="0080418B"/>
    <w:rsid w:val="00804614"/>
    <w:rsid w:val="0081575C"/>
    <w:rsid w:val="00824AA2"/>
    <w:rsid w:val="00831238"/>
    <w:rsid w:val="00841F17"/>
    <w:rsid w:val="008A01B6"/>
    <w:rsid w:val="008A442C"/>
    <w:rsid w:val="008B149D"/>
    <w:rsid w:val="008B4118"/>
    <w:rsid w:val="008C025F"/>
    <w:rsid w:val="008C1CC7"/>
    <w:rsid w:val="008D77A9"/>
    <w:rsid w:val="008E0F69"/>
    <w:rsid w:val="008E221D"/>
    <w:rsid w:val="008E4BA2"/>
    <w:rsid w:val="008E7C9B"/>
    <w:rsid w:val="00912D2D"/>
    <w:rsid w:val="009458BA"/>
    <w:rsid w:val="009745AC"/>
    <w:rsid w:val="00993129"/>
    <w:rsid w:val="009B3EC8"/>
    <w:rsid w:val="009C1E78"/>
    <w:rsid w:val="009E1B73"/>
    <w:rsid w:val="009F5DAD"/>
    <w:rsid w:val="00A355FD"/>
    <w:rsid w:val="00A66EA6"/>
    <w:rsid w:val="00A746F3"/>
    <w:rsid w:val="00A82412"/>
    <w:rsid w:val="00AA01A6"/>
    <w:rsid w:val="00AA4174"/>
    <w:rsid w:val="00AC24E2"/>
    <w:rsid w:val="00AE0F43"/>
    <w:rsid w:val="00AE20D4"/>
    <w:rsid w:val="00AF2C77"/>
    <w:rsid w:val="00B111CD"/>
    <w:rsid w:val="00B11304"/>
    <w:rsid w:val="00B55CBA"/>
    <w:rsid w:val="00B8093D"/>
    <w:rsid w:val="00B83F0B"/>
    <w:rsid w:val="00B85D99"/>
    <w:rsid w:val="00B930F5"/>
    <w:rsid w:val="00BA1F2B"/>
    <w:rsid w:val="00BC6D90"/>
    <w:rsid w:val="00BD01A4"/>
    <w:rsid w:val="00BE616A"/>
    <w:rsid w:val="00BE645C"/>
    <w:rsid w:val="00C1091D"/>
    <w:rsid w:val="00C6290E"/>
    <w:rsid w:val="00C83E88"/>
    <w:rsid w:val="00CA3187"/>
    <w:rsid w:val="00CC4195"/>
    <w:rsid w:val="00CC4FBE"/>
    <w:rsid w:val="00CD51F7"/>
    <w:rsid w:val="00CD734E"/>
    <w:rsid w:val="00CE7DC5"/>
    <w:rsid w:val="00CF4F9A"/>
    <w:rsid w:val="00D163A7"/>
    <w:rsid w:val="00D513C4"/>
    <w:rsid w:val="00D7262F"/>
    <w:rsid w:val="00DA00D9"/>
    <w:rsid w:val="00DC18AE"/>
    <w:rsid w:val="00DC4B82"/>
    <w:rsid w:val="00DE06FC"/>
    <w:rsid w:val="00DE55A6"/>
    <w:rsid w:val="00DE7E97"/>
    <w:rsid w:val="00DE7F68"/>
    <w:rsid w:val="00E109DF"/>
    <w:rsid w:val="00E1683F"/>
    <w:rsid w:val="00E20CB0"/>
    <w:rsid w:val="00E31401"/>
    <w:rsid w:val="00E419F1"/>
    <w:rsid w:val="00E42DFC"/>
    <w:rsid w:val="00E4328C"/>
    <w:rsid w:val="00E47F68"/>
    <w:rsid w:val="00E61913"/>
    <w:rsid w:val="00E627E0"/>
    <w:rsid w:val="00E65F7A"/>
    <w:rsid w:val="00E81914"/>
    <w:rsid w:val="00E85563"/>
    <w:rsid w:val="00EA08A4"/>
    <w:rsid w:val="00EA47EF"/>
    <w:rsid w:val="00EB1384"/>
    <w:rsid w:val="00EC39ED"/>
    <w:rsid w:val="00EC4504"/>
    <w:rsid w:val="00ED619F"/>
    <w:rsid w:val="00EF1AED"/>
    <w:rsid w:val="00F27B7F"/>
    <w:rsid w:val="00F57477"/>
    <w:rsid w:val="00F64671"/>
    <w:rsid w:val="00F7146C"/>
    <w:rsid w:val="00F8667A"/>
    <w:rsid w:val="00FA4737"/>
    <w:rsid w:val="00FA6C49"/>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3914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149A"/>
  </w:style>
  <w:style w:type="paragraph" w:styleId="Footer">
    <w:name w:val="footer"/>
    <w:basedOn w:val="Normal"/>
    <w:link w:val="FooterChar"/>
    <w:uiPriority w:val="99"/>
    <w:unhideWhenUsed/>
    <w:rsid w:val="003914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149A"/>
  </w:style>
  <w:style w:type="paragraph" w:styleId="BalloonText">
    <w:name w:val="Balloon Text"/>
    <w:basedOn w:val="Normal"/>
    <w:link w:val="BalloonTextChar"/>
    <w:uiPriority w:val="99"/>
    <w:semiHidden/>
    <w:unhideWhenUsed/>
    <w:rsid w:val="00EA47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47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3914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149A"/>
  </w:style>
  <w:style w:type="paragraph" w:styleId="Footer">
    <w:name w:val="footer"/>
    <w:basedOn w:val="Normal"/>
    <w:link w:val="FooterChar"/>
    <w:uiPriority w:val="99"/>
    <w:unhideWhenUsed/>
    <w:rsid w:val="003914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149A"/>
  </w:style>
  <w:style w:type="paragraph" w:styleId="BalloonText">
    <w:name w:val="Balloon Text"/>
    <w:basedOn w:val="Normal"/>
    <w:link w:val="BalloonTextChar"/>
    <w:uiPriority w:val="99"/>
    <w:semiHidden/>
    <w:unhideWhenUsed/>
    <w:rsid w:val="00EA47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47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2016-12-13T19:44:00Z</dcterms:created>
  <dcterms:modified xsi:type="dcterms:W3CDTF">2016-12-13T20:24:00Z</dcterms:modified>
</cp:coreProperties>
</file>