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6CF" w:rsidRDefault="001536CF" w:rsidP="001536C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1536CF" w:rsidRDefault="001536CF" w:rsidP="001536C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1536CF" w:rsidRDefault="001536CF" w:rsidP="001536C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1951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provides:</w:t>
      </w:r>
    </w:p>
    <w:p w:rsidR="001536CF" w:rsidRDefault="001536CF" w:rsidP="001536C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1536CF" w:rsidRDefault="001536CF" w:rsidP="001536CF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Whoever in any way or degree obstructs, delays, or affects commerce or the movement of any article or commodity in commerce, by robbery [shall be guilty of an offense against the United States].</w:t>
      </w:r>
    </w:p>
    <w:p w:rsidR="001536CF" w:rsidRDefault="001536CF" w:rsidP="001536CF">
      <w:pPr>
        <w:spacing w:after="0" w:line="240" w:lineRule="auto"/>
        <w:ind w:right="360"/>
        <w:jc w:val="both"/>
        <w:rPr>
          <w:rFonts w:ascii="Times New Roman" w:eastAsia="Arial" w:hAnsi="Times New Roman"/>
          <w:sz w:val="26"/>
          <w:szCs w:val="26"/>
        </w:rPr>
      </w:pPr>
    </w:p>
    <w:p w:rsidR="001536CF" w:rsidRDefault="001536CF" w:rsidP="001536C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Maximum Penalty: Twenty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20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imprisonment and applicable fine.</w:t>
      </w:r>
    </w:p>
    <w:p w:rsidR="001536CF" w:rsidRDefault="001536CF" w:rsidP="001536C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1536CF" w:rsidRDefault="001536CF" w:rsidP="001536C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In </w:t>
      </w:r>
      <w:r w:rsidRPr="0083382D">
        <w:rPr>
          <w:rFonts w:ascii="Times New Roman" w:eastAsia="Arial" w:hAnsi="Times New Roman"/>
          <w:i/>
          <w:sz w:val="26"/>
          <w:szCs w:val="26"/>
        </w:rPr>
        <w:t>United States v. Thomas</w:t>
      </w:r>
      <w:r>
        <w:rPr>
          <w:rFonts w:ascii="Times New Roman" w:eastAsia="Arial" w:hAnsi="Times New Roman"/>
          <w:sz w:val="26"/>
          <w:szCs w:val="26"/>
        </w:rPr>
        <w:t>, 8 F.3d 1552, 1562-63 (11</w:t>
      </w:r>
      <w:r w:rsidRPr="00C2303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1993), the Eleventh Circuit suggested that the Government need not prove specific intent in order to secure a conviction for Hobbs Act robbery. See also </w:t>
      </w:r>
      <w:r w:rsidRPr="0083382D">
        <w:rPr>
          <w:rFonts w:ascii="Times New Roman" w:eastAsia="Arial" w:hAnsi="Times New Roman"/>
          <w:i/>
          <w:sz w:val="26"/>
          <w:szCs w:val="26"/>
        </w:rPr>
        <w:t>United States v. Gray</w:t>
      </w:r>
      <w:r>
        <w:rPr>
          <w:rFonts w:ascii="Times New Roman" w:eastAsia="Arial" w:hAnsi="Times New Roman"/>
          <w:sz w:val="26"/>
          <w:szCs w:val="26"/>
        </w:rPr>
        <w:t>, 260 F.3d 1267, 1283 (11</w:t>
      </w:r>
      <w:r w:rsidRPr="00C2303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2001) (noting that the Court in </w:t>
      </w:r>
      <w:r w:rsidRPr="0083382D">
        <w:rPr>
          <w:rFonts w:ascii="Times New Roman" w:eastAsia="Arial" w:hAnsi="Times New Roman"/>
          <w:i/>
          <w:sz w:val="26"/>
          <w:szCs w:val="26"/>
        </w:rPr>
        <w:t>Thomas</w:t>
      </w:r>
      <w:r>
        <w:rPr>
          <w:rFonts w:ascii="Times New Roman" w:eastAsia="Arial" w:hAnsi="Times New Roman"/>
          <w:sz w:val="26"/>
          <w:szCs w:val="26"/>
        </w:rPr>
        <w:t xml:space="preserve"> suggested that specific intent is not an element under § 1951).</w:t>
      </w:r>
    </w:p>
    <w:p w:rsidR="001536CF" w:rsidRDefault="001536CF" w:rsidP="001536C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1536CF" w:rsidRDefault="001536CF" w:rsidP="001536C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In </w:t>
      </w:r>
      <w:r w:rsidRPr="0083382D">
        <w:rPr>
          <w:rFonts w:ascii="Times New Roman" w:eastAsia="Arial" w:hAnsi="Times New Roman"/>
          <w:i/>
          <w:sz w:val="26"/>
          <w:szCs w:val="26"/>
        </w:rPr>
        <w:t>United States v. Kaplan</w:t>
      </w:r>
      <w:r>
        <w:rPr>
          <w:rFonts w:ascii="Times New Roman" w:eastAsia="Arial" w:hAnsi="Times New Roman"/>
          <w:sz w:val="26"/>
          <w:szCs w:val="26"/>
        </w:rPr>
        <w:t>, 171 F.3d 1351, 1356-58 (11</w:t>
      </w:r>
      <w:r w:rsidRPr="0046309B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1999), the Eleventh Circuit held that under § 1951 the </w:t>
      </w:r>
      <w:proofErr w:type="spellStart"/>
      <w:r w:rsidR="00944859">
        <w:rPr>
          <w:rFonts w:ascii="Times New Roman" w:eastAsia="Arial" w:hAnsi="Times New Roman"/>
          <w:sz w:val="26"/>
          <w:szCs w:val="26"/>
        </w:rPr>
        <w:t>a</w:t>
      </w:r>
      <w:r>
        <w:rPr>
          <w:rFonts w:ascii="Times New Roman" w:eastAsia="Arial" w:hAnsi="Times New Roman"/>
          <w:sz w:val="26"/>
          <w:szCs w:val="26"/>
        </w:rPr>
        <w:t>ffect</w:t>
      </w:r>
      <w:proofErr w:type="spellEnd"/>
      <w:r>
        <w:rPr>
          <w:rFonts w:ascii="Times New Roman" w:eastAsia="Arial" w:hAnsi="Times New Roman"/>
          <w:sz w:val="26"/>
          <w:szCs w:val="26"/>
        </w:rPr>
        <w:t xml:space="preserve"> on commerce need not be adverse. The effect on commerce can involve activities that occur outside of the United States. </w:t>
      </w:r>
      <w:r w:rsidRPr="0083382D">
        <w:rPr>
          <w:rFonts w:ascii="Times New Roman" w:eastAsia="Arial" w:hAnsi="Times New Roman"/>
          <w:i/>
          <w:sz w:val="26"/>
          <w:szCs w:val="26"/>
        </w:rPr>
        <w:t>See, e.g., Kaplan</w:t>
      </w:r>
      <w:r>
        <w:rPr>
          <w:rFonts w:ascii="Times New Roman" w:eastAsia="Arial" w:hAnsi="Times New Roman"/>
          <w:sz w:val="26"/>
          <w:szCs w:val="26"/>
        </w:rPr>
        <w:t>, 171 F.3d at 1355-58 (use of interstate communication facilities and claimed travel to carry out extortion scheme’s object, which was the movement of substantial funds from Panama to Florida, constituted sufficient affect under § 1951).</w:t>
      </w:r>
    </w:p>
    <w:p w:rsidR="001536CF" w:rsidRDefault="001536CF" w:rsidP="001536C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1536CF" w:rsidRDefault="001536CF" w:rsidP="001536C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The commerce nexus for an attempt or conspiracy under § 1951 can be shown by evidence of a potential impact on commerce or by evidence of an actual, de minimis impact on commerce. </w:t>
      </w:r>
      <w:proofErr w:type="gramStart"/>
      <w:r w:rsidRPr="0083382D">
        <w:rPr>
          <w:rFonts w:ascii="Times New Roman" w:eastAsia="Arial" w:hAnsi="Times New Roman"/>
          <w:i/>
          <w:sz w:val="26"/>
          <w:szCs w:val="26"/>
        </w:rPr>
        <w:t>Kaplan</w:t>
      </w:r>
      <w:r>
        <w:rPr>
          <w:rFonts w:ascii="Times New Roman" w:eastAsia="Arial" w:hAnsi="Times New Roman"/>
          <w:sz w:val="26"/>
          <w:szCs w:val="26"/>
        </w:rPr>
        <w:t>, 171 F.3d at 1354 (citations omitted).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In the case of a substantive offense, the impact on commerce need not be substantial; it can be minimal. </w:t>
      </w:r>
      <w:r w:rsidRPr="0083382D">
        <w:rPr>
          <w:rFonts w:ascii="Times New Roman" w:eastAsia="Arial" w:hAnsi="Times New Roman"/>
          <w:i/>
          <w:sz w:val="26"/>
          <w:szCs w:val="26"/>
        </w:rPr>
        <w:t>See id.; see also United States v. Le</w:t>
      </w:r>
      <w:r>
        <w:rPr>
          <w:rFonts w:ascii="Times New Roman" w:eastAsia="Arial" w:hAnsi="Times New Roman"/>
          <w:sz w:val="26"/>
          <w:szCs w:val="26"/>
        </w:rPr>
        <w:t>, 256 F.3d 1229 (11</w:t>
      </w:r>
      <w:r w:rsidRPr="0046309B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2001); </w:t>
      </w:r>
      <w:r w:rsidRPr="0083382D">
        <w:rPr>
          <w:rFonts w:ascii="Times New Roman" w:eastAsia="Arial" w:hAnsi="Times New Roman"/>
          <w:i/>
          <w:sz w:val="26"/>
          <w:szCs w:val="26"/>
        </w:rPr>
        <w:t>U</w:t>
      </w:r>
      <w:r w:rsidR="0083382D">
        <w:rPr>
          <w:rFonts w:ascii="Times New Roman" w:eastAsia="Arial" w:hAnsi="Times New Roman"/>
          <w:i/>
          <w:sz w:val="26"/>
          <w:szCs w:val="26"/>
        </w:rPr>
        <w:t>.S.</w:t>
      </w:r>
      <w:r w:rsidRPr="0083382D">
        <w:rPr>
          <w:rFonts w:ascii="Times New Roman" w:eastAsia="Arial" w:hAnsi="Times New Roman"/>
          <w:i/>
          <w:sz w:val="26"/>
          <w:szCs w:val="26"/>
        </w:rPr>
        <w:t xml:space="preserve"> v. Verbitskaya</w:t>
      </w:r>
      <w:r>
        <w:rPr>
          <w:rFonts w:ascii="Times New Roman" w:eastAsia="Arial" w:hAnsi="Times New Roman"/>
          <w:sz w:val="26"/>
          <w:szCs w:val="26"/>
        </w:rPr>
        <w:t>, 405 F.3d 1324 (11</w:t>
      </w:r>
      <w:r w:rsidRPr="0046309B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2005) (jurisdictional element can be met simply by showing this crime had a minimal effect on commerce); </w:t>
      </w:r>
      <w:r w:rsidRPr="0083382D">
        <w:rPr>
          <w:rFonts w:ascii="Times New Roman" w:eastAsia="Arial" w:hAnsi="Times New Roman"/>
          <w:i/>
          <w:sz w:val="26"/>
          <w:szCs w:val="26"/>
        </w:rPr>
        <w:t>U</w:t>
      </w:r>
      <w:r w:rsidR="0083382D">
        <w:rPr>
          <w:rFonts w:ascii="Times New Roman" w:eastAsia="Arial" w:hAnsi="Times New Roman"/>
          <w:i/>
          <w:sz w:val="26"/>
          <w:szCs w:val="26"/>
        </w:rPr>
        <w:t>.S.</w:t>
      </w:r>
      <w:r w:rsidRPr="0083382D">
        <w:rPr>
          <w:rFonts w:ascii="Times New Roman" w:eastAsia="Arial" w:hAnsi="Times New Roman"/>
          <w:i/>
          <w:sz w:val="26"/>
          <w:szCs w:val="26"/>
        </w:rPr>
        <w:t xml:space="preserve"> v. White</w:t>
      </w:r>
      <w:r>
        <w:rPr>
          <w:rFonts w:ascii="Times New Roman" w:eastAsia="Arial" w:hAnsi="Times New Roman"/>
          <w:sz w:val="26"/>
          <w:szCs w:val="26"/>
        </w:rPr>
        <w:t>, No. 07-11793, 2007 U.S. App. LEXIS 27819 (11</w:t>
      </w:r>
      <w:r w:rsidRPr="0046309B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Nov. 29, 2007) (jurisdictional element can be met simply by showing this crime had a minimal effect on commerce); </w:t>
      </w:r>
      <w:r w:rsidRPr="0083382D">
        <w:rPr>
          <w:rFonts w:ascii="Times New Roman" w:eastAsia="Arial" w:hAnsi="Times New Roman"/>
          <w:i/>
          <w:sz w:val="26"/>
          <w:szCs w:val="26"/>
        </w:rPr>
        <w:t>U</w:t>
      </w:r>
      <w:r w:rsidR="0083382D">
        <w:rPr>
          <w:rFonts w:ascii="Times New Roman" w:eastAsia="Arial" w:hAnsi="Times New Roman"/>
          <w:i/>
          <w:sz w:val="26"/>
          <w:szCs w:val="26"/>
        </w:rPr>
        <w:t>.S.</w:t>
      </w:r>
      <w:r w:rsidRPr="0083382D">
        <w:rPr>
          <w:rFonts w:ascii="Times New Roman" w:eastAsia="Arial" w:hAnsi="Times New Roman"/>
          <w:i/>
          <w:sz w:val="26"/>
          <w:szCs w:val="26"/>
        </w:rPr>
        <w:t xml:space="preserve"> v. Mathis</w:t>
      </w:r>
      <w:r>
        <w:rPr>
          <w:rFonts w:ascii="Times New Roman" w:eastAsia="Arial" w:hAnsi="Times New Roman"/>
          <w:sz w:val="26"/>
          <w:szCs w:val="26"/>
        </w:rPr>
        <w:t xml:space="preserve">, 186 Fed. </w:t>
      </w:r>
      <w:proofErr w:type="spellStart"/>
      <w:proofErr w:type="gramStart"/>
      <w:r>
        <w:rPr>
          <w:rFonts w:ascii="Times New Roman" w:eastAsia="Arial" w:hAnsi="Times New Roman"/>
          <w:sz w:val="26"/>
          <w:szCs w:val="26"/>
        </w:rPr>
        <w:t>Appx</w:t>
      </w:r>
      <w:proofErr w:type="spellEnd"/>
      <w:r>
        <w:rPr>
          <w:rFonts w:ascii="Times New Roman" w:eastAsia="Arial" w:hAnsi="Times New Roman"/>
          <w:sz w:val="26"/>
          <w:szCs w:val="26"/>
        </w:rPr>
        <w:t>.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</w:t>
      </w:r>
      <w:proofErr w:type="gramStart"/>
      <w:r>
        <w:rPr>
          <w:rFonts w:ascii="Times New Roman" w:eastAsia="Arial" w:hAnsi="Times New Roman"/>
          <w:sz w:val="26"/>
          <w:szCs w:val="26"/>
        </w:rPr>
        <w:t>971 (11</w:t>
      </w:r>
      <w:r w:rsidRPr="0046309B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2006); </w:t>
      </w:r>
      <w:r w:rsidRPr="0083382D">
        <w:rPr>
          <w:rFonts w:ascii="Times New Roman" w:eastAsia="Arial" w:hAnsi="Times New Roman"/>
          <w:i/>
          <w:sz w:val="26"/>
          <w:szCs w:val="26"/>
        </w:rPr>
        <w:t>U</w:t>
      </w:r>
      <w:r w:rsidR="0083382D">
        <w:rPr>
          <w:rFonts w:ascii="Times New Roman" w:eastAsia="Arial" w:hAnsi="Times New Roman"/>
          <w:i/>
          <w:sz w:val="26"/>
          <w:szCs w:val="26"/>
        </w:rPr>
        <w:t xml:space="preserve">.S. </w:t>
      </w:r>
      <w:r w:rsidRPr="0083382D">
        <w:rPr>
          <w:rFonts w:ascii="Times New Roman" w:eastAsia="Arial" w:hAnsi="Times New Roman"/>
          <w:i/>
          <w:sz w:val="26"/>
          <w:szCs w:val="26"/>
        </w:rPr>
        <w:t>v. Stamps</w:t>
      </w:r>
      <w:r>
        <w:rPr>
          <w:rFonts w:ascii="Times New Roman" w:eastAsia="Arial" w:hAnsi="Times New Roman"/>
          <w:sz w:val="26"/>
          <w:szCs w:val="26"/>
        </w:rPr>
        <w:t>, 201 Fed.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eastAsia="Arial" w:hAnsi="Times New Roman"/>
          <w:sz w:val="26"/>
          <w:szCs w:val="26"/>
        </w:rPr>
        <w:t>Appx</w:t>
      </w:r>
      <w:proofErr w:type="spellEnd"/>
      <w:r>
        <w:rPr>
          <w:rFonts w:ascii="Times New Roman" w:eastAsia="Arial" w:hAnsi="Times New Roman"/>
          <w:sz w:val="26"/>
          <w:szCs w:val="26"/>
        </w:rPr>
        <w:t>.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</w:t>
      </w:r>
      <w:proofErr w:type="gramStart"/>
      <w:r>
        <w:rPr>
          <w:rFonts w:ascii="Times New Roman" w:eastAsia="Arial" w:hAnsi="Times New Roman"/>
          <w:sz w:val="26"/>
          <w:szCs w:val="26"/>
        </w:rPr>
        <w:t>759 (11</w:t>
      </w:r>
      <w:r w:rsidRPr="0046309B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2006).</w:t>
      </w:r>
      <w:proofErr w:type="gramEnd"/>
    </w:p>
    <w:p w:rsidR="001536CF" w:rsidRDefault="001536CF" w:rsidP="001536C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1536CF" w:rsidRDefault="001536CF" w:rsidP="001536C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In </w:t>
      </w:r>
      <w:r w:rsidRPr="0083382D">
        <w:rPr>
          <w:rFonts w:ascii="Times New Roman" w:eastAsia="Arial" w:hAnsi="Times New Roman"/>
          <w:i/>
          <w:sz w:val="26"/>
          <w:szCs w:val="26"/>
        </w:rPr>
        <w:t>U</w:t>
      </w:r>
      <w:r w:rsidR="0083382D">
        <w:rPr>
          <w:rFonts w:ascii="Times New Roman" w:eastAsia="Arial" w:hAnsi="Times New Roman"/>
          <w:i/>
          <w:sz w:val="26"/>
          <w:szCs w:val="26"/>
        </w:rPr>
        <w:t>.S.</w:t>
      </w:r>
      <w:r w:rsidRPr="0083382D">
        <w:rPr>
          <w:rFonts w:ascii="Times New Roman" w:eastAsia="Arial" w:hAnsi="Times New Roman"/>
          <w:i/>
          <w:sz w:val="26"/>
          <w:szCs w:val="26"/>
        </w:rPr>
        <w:t xml:space="preserve"> v. Taylor</w:t>
      </w:r>
      <w:r>
        <w:rPr>
          <w:rFonts w:ascii="Times New Roman" w:eastAsia="Arial" w:hAnsi="Times New Roman"/>
          <w:sz w:val="26"/>
          <w:szCs w:val="26"/>
        </w:rPr>
        <w:t>, 480 F.3d 1025 (11</w:t>
      </w:r>
      <w:r w:rsidRPr="0046309B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2007), the Eleventh Circuit held that the jurisdictional element is met even when the object of a planned robbery (i.e. drugs in a sting operation) or its victims are fictional.</w:t>
      </w:r>
      <w:bookmarkEnd w:id="0"/>
    </w:p>
    <w:sectPr w:rsidR="00725167" w:rsidRPr="001536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294" w:rsidRDefault="00B32294" w:rsidP="00B32294">
      <w:pPr>
        <w:spacing w:after="0" w:line="240" w:lineRule="auto"/>
      </w:pPr>
      <w:r>
        <w:separator/>
      </w:r>
    </w:p>
  </w:endnote>
  <w:endnote w:type="continuationSeparator" w:id="0">
    <w:p w:rsidR="00B32294" w:rsidRDefault="00B32294" w:rsidP="00B32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294" w:rsidRDefault="00B32294" w:rsidP="00B32294">
      <w:pPr>
        <w:spacing w:after="0" w:line="240" w:lineRule="auto"/>
      </w:pPr>
      <w:r>
        <w:separator/>
      </w:r>
    </w:p>
  </w:footnote>
  <w:footnote w:type="continuationSeparator" w:id="0">
    <w:p w:rsidR="00B32294" w:rsidRDefault="00B32294" w:rsidP="00B322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161B0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110446"/>
    <w:rsid w:val="001217D5"/>
    <w:rsid w:val="0012744C"/>
    <w:rsid w:val="00135397"/>
    <w:rsid w:val="00137BA2"/>
    <w:rsid w:val="00144B24"/>
    <w:rsid w:val="001536CF"/>
    <w:rsid w:val="00157747"/>
    <w:rsid w:val="00166AB9"/>
    <w:rsid w:val="00194E82"/>
    <w:rsid w:val="001E3479"/>
    <w:rsid w:val="001E4EF8"/>
    <w:rsid w:val="001E5B53"/>
    <w:rsid w:val="002077C3"/>
    <w:rsid w:val="002161E7"/>
    <w:rsid w:val="002329BF"/>
    <w:rsid w:val="00233997"/>
    <w:rsid w:val="00236275"/>
    <w:rsid w:val="00245EF2"/>
    <w:rsid w:val="002604B9"/>
    <w:rsid w:val="00290544"/>
    <w:rsid w:val="002D2202"/>
    <w:rsid w:val="003067A0"/>
    <w:rsid w:val="00314335"/>
    <w:rsid w:val="00372806"/>
    <w:rsid w:val="003A75E9"/>
    <w:rsid w:val="003B0729"/>
    <w:rsid w:val="003B09A8"/>
    <w:rsid w:val="003D6207"/>
    <w:rsid w:val="00406A43"/>
    <w:rsid w:val="00431B02"/>
    <w:rsid w:val="00465F35"/>
    <w:rsid w:val="00483B81"/>
    <w:rsid w:val="004A1AAC"/>
    <w:rsid w:val="004A354F"/>
    <w:rsid w:val="004C148A"/>
    <w:rsid w:val="004C531E"/>
    <w:rsid w:val="004D06A2"/>
    <w:rsid w:val="00503A01"/>
    <w:rsid w:val="00511CE4"/>
    <w:rsid w:val="00543EBC"/>
    <w:rsid w:val="0056064A"/>
    <w:rsid w:val="00565EF7"/>
    <w:rsid w:val="00586722"/>
    <w:rsid w:val="005B45D9"/>
    <w:rsid w:val="005C4DB9"/>
    <w:rsid w:val="00615301"/>
    <w:rsid w:val="0061645E"/>
    <w:rsid w:val="006179FB"/>
    <w:rsid w:val="00632C46"/>
    <w:rsid w:val="00633618"/>
    <w:rsid w:val="00636B96"/>
    <w:rsid w:val="006B1FC0"/>
    <w:rsid w:val="006C204A"/>
    <w:rsid w:val="00725167"/>
    <w:rsid w:val="00780FDD"/>
    <w:rsid w:val="00783A2A"/>
    <w:rsid w:val="007C4B9C"/>
    <w:rsid w:val="0080418B"/>
    <w:rsid w:val="00804614"/>
    <w:rsid w:val="0081575C"/>
    <w:rsid w:val="00824AA2"/>
    <w:rsid w:val="00831238"/>
    <w:rsid w:val="0083382D"/>
    <w:rsid w:val="00841F17"/>
    <w:rsid w:val="00874C79"/>
    <w:rsid w:val="008A01B6"/>
    <w:rsid w:val="008A442C"/>
    <w:rsid w:val="008B149D"/>
    <w:rsid w:val="008B4118"/>
    <w:rsid w:val="008C025F"/>
    <w:rsid w:val="008C1CC7"/>
    <w:rsid w:val="008D77A9"/>
    <w:rsid w:val="008E0F69"/>
    <w:rsid w:val="008E221D"/>
    <w:rsid w:val="008E4BA2"/>
    <w:rsid w:val="008E7C9B"/>
    <w:rsid w:val="00912D2D"/>
    <w:rsid w:val="00944859"/>
    <w:rsid w:val="009458BA"/>
    <w:rsid w:val="009745AC"/>
    <w:rsid w:val="009B3EC8"/>
    <w:rsid w:val="009C1E78"/>
    <w:rsid w:val="009E1B73"/>
    <w:rsid w:val="009F5DAD"/>
    <w:rsid w:val="00A355FD"/>
    <w:rsid w:val="00A66EA6"/>
    <w:rsid w:val="00A746F3"/>
    <w:rsid w:val="00A82412"/>
    <w:rsid w:val="00AA01A6"/>
    <w:rsid w:val="00AA4174"/>
    <w:rsid w:val="00AC24E2"/>
    <w:rsid w:val="00AE0F43"/>
    <w:rsid w:val="00AE20D4"/>
    <w:rsid w:val="00AF2C77"/>
    <w:rsid w:val="00B111CD"/>
    <w:rsid w:val="00B11304"/>
    <w:rsid w:val="00B32294"/>
    <w:rsid w:val="00B55CBA"/>
    <w:rsid w:val="00B8093D"/>
    <w:rsid w:val="00B83F0B"/>
    <w:rsid w:val="00B85D99"/>
    <w:rsid w:val="00B930F5"/>
    <w:rsid w:val="00BA1F2B"/>
    <w:rsid w:val="00BC6D90"/>
    <w:rsid w:val="00BD01A4"/>
    <w:rsid w:val="00BE616A"/>
    <w:rsid w:val="00BE645C"/>
    <w:rsid w:val="00C1091D"/>
    <w:rsid w:val="00C6290E"/>
    <w:rsid w:val="00C83E88"/>
    <w:rsid w:val="00CA3187"/>
    <w:rsid w:val="00CC4195"/>
    <w:rsid w:val="00CC4FBE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C4B82"/>
    <w:rsid w:val="00DE06FC"/>
    <w:rsid w:val="00DE55A6"/>
    <w:rsid w:val="00DE7E97"/>
    <w:rsid w:val="00DE7F68"/>
    <w:rsid w:val="00E109DF"/>
    <w:rsid w:val="00E20CB0"/>
    <w:rsid w:val="00E31401"/>
    <w:rsid w:val="00E419F1"/>
    <w:rsid w:val="00E42DFC"/>
    <w:rsid w:val="00E4328C"/>
    <w:rsid w:val="00E47F68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EF1AED"/>
    <w:rsid w:val="00F27B7F"/>
    <w:rsid w:val="00F57477"/>
    <w:rsid w:val="00F64671"/>
    <w:rsid w:val="00F7146C"/>
    <w:rsid w:val="00F8667A"/>
    <w:rsid w:val="00FA4737"/>
    <w:rsid w:val="00FA6C49"/>
    <w:rsid w:val="00FC5CF8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22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294"/>
  </w:style>
  <w:style w:type="paragraph" w:styleId="Footer">
    <w:name w:val="footer"/>
    <w:basedOn w:val="Normal"/>
    <w:link w:val="FooterChar"/>
    <w:uiPriority w:val="99"/>
    <w:unhideWhenUsed/>
    <w:rsid w:val="00B322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2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22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294"/>
  </w:style>
  <w:style w:type="paragraph" w:styleId="Footer">
    <w:name w:val="footer"/>
    <w:basedOn w:val="Normal"/>
    <w:link w:val="FooterChar"/>
    <w:uiPriority w:val="99"/>
    <w:unhideWhenUsed/>
    <w:rsid w:val="00B322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2014-04-01T00:36:00Z</dcterms:created>
  <dcterms:modified xsi:type="dcterms:W3CDTF">2014-06-17T16:43:00Z</dcterms:modified>
</cp:coreProperties>
</file>