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1955 provides:</w:t>
      </w: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01A23" w:rsidRDefault="00001A23" w:rsidP="00001A23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conducts, finances, manages, supervises, directs, or owns all or part of an illegal gambling business [shall be guilty of an offense against the United States].</w:t>
      </w:r>
    </w:p>
    <w:p w:rsidR="00001A23" w:rsidRDefault="00001A23" w:rsidP="00001A23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For purposes of the statute, one “conducts” an illegal gambling business by performing any necessary function in the gambling operation, other than that of mere bettor. Thus, a Defendant’s proposed instruction that “[a] person who took bets on five or six occasions over a year’s time could not be considered [a] participant in conduct[</w:t>
      </w:r>
      <w:proofErr w:type="spellStart"/>
      <w:r>
        <w:rPr>
          <w:rFonts w:ascii="Times New Roman" w:eastAsia="Arial" w:hAnsi="Times New Roman"/>
          <w:sz w:val="26"/>
          <w:szCs w:val="26"/>
        </w:rPr>
        <w:t>ing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] [a] gambling business” was properly refused where the evidence established that the Defendant, in addition to taking bets, collected gambling debts and forwarded them to another participant. </w:t>
      </w:r>
      <w:proofErr w:type="gramStart"/>
      <w:r w:rsidRPr="00870AC5">
        <w:rPr>
          <w:rFonts w:ascii="Times New Roman" w:eastAsia="Arial" w:hAnsi="Times New Roman"/>
          <w:i/>
          <w:sz w:val="26"/>
          <w:szCs w:val="26"/>
        </w:rPr>
        <w:t>United States v. Miller</w:t>
      </w:r>
      <w:r>
        <w:rPr>
          <w:rFonts w:ascii="Times New Roman" w:eastAsia="Arial" w:hAnsi="Times New Roman"/>
          <w:sz w:val="26"/>
          <w:szCs w:val="26"/>
        </w:rPr>
        <w:t>, 22 F.3d 1075 (11</w:t>
      </w:r>
      <w:r w:rsidRPr="0065431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1994).</w:t>
      </w:r>
      <w:proofErr w:type="gramEnd"/>
    </w:p>
    <w:p w:rsid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001A23" w:rsidRDefault="00001A23" w:rsidP="00001A23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870AC5">
        <w:rPr>
          <w:rFonts w:ascii="Times New Roman" w:eastAsia="Arial" w:hAnsi="Times New Roman"/>
          <w:i/>
          <w:sz w:val="26"/>
          <w:szCs w:val="26"/>
        </w:rPr>
        <w:t>See United States v. Herring</w:t>
      </w:r>
      <w:r>
        <w:rPr>
          <w:rFonts w:ascii="Times New Roman" w:eastAsia="Arial" w:hAnsi="Times New Roman"/>
          <w:sz w:val="26"/>
          <w:szCs w:val="26"/>
        </w:rPr>
        <w:t>, 955 F.2d 703 (11</w:t>
      </w:r>
      <w:r w:rsidRPr="0065431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1992) (discussing “layoff bets”).</w:t>
      </w:r>
      <w:bookmarkEnd w:id="0"/>
    </w:p>
    <w:sectPr w:rsidR="00725167" w:rsidRPr="00001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1B" w:rsidRDefault="0037201B" w:rsidP="0037201B">
      <w:pPr>
        <w:spacing w:after="0" w:line="240" w:lineRule="auto"/>
      </w:pPr>
      <w:r>
        <w:separator/>
      </w:r>
    </w:p>
  </w:endnote>
  <w:endnote w:type="continuationSeparator" w:id="0">
    <w:p w:rsidR="0037201B" w:rsidRDefault="0037201B" w:rsidP="0037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1B" w:rsidRDefault="0037201B" w:rsidP="0037201B">
      <w:pPr>
        <w:spacing w:after="0" w:line="240" w:lineRule="auto"/>
      </w:pPr>
      <w:r>
        <w:separator/>
      </w:r>
    </w:p>
  </w:footnote>
  <w:footnote w:type="continuationSeparator" w:id="0">
    <w:p w:rsidR="0037201B" w:rsidRDefault="0037201B" w:rsidP="00372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95C3E"/>
    <w:rsid w:val="002D2202"/>
    <w:rsid w:val="003067A0"/>
    <w:rsid w:val="00314335"/>
    <w:rsid w:val="0037201B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70AC5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01B"/>
  </w:style>
  <w:style w:type="paragraph" w:styleId="Footer">
    <w:name w:val="footer"/>
    <w:basedOn w:val="Normal"/>
    <w:link w:val="FooterChar"/>
    <w:uiPriority w:val="99"/>
    <w:unhideWhenUsed/>
    <w:rsid w:val="003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01B"/>
  </w:style>
  <w:style w:type="paragraph" w:styleId="Footer">
    <w:name w:val="footer"/>
    <w:basedOn w:val="Normal"/>
    <w:link w:val="FooterChar"/>
    <w:uiPriority w:val="99"/>
    <w:unhideWhenUsed/>
    <w:rsid w:val="003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2014-04-01T00:37:00Z</dcterms:created>
  <dcterms:modified xsi:type="dcterms:W3CDTF">2014-06-17T16:19:00Z</dcterms:modified>
</cp:coreProperties>
</file>