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1956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81AFD" w:rsidRDefault="00F81AFD" w:rsidP="00F81AFD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Whoever, knowing that the property involved in a financial transaction represents the proceeds of some form of unlawful activity, conducts or attempts to conduct such a financial transaction which in fact involves the proceeds of specified unlawful activity - -</w:t>
      </w:r>
    </w:p>
    <w:p w:rsidR="00F81AFD" w:rsidRDefault="00F81AFD" w:rsidP="00F81AFD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F81AFD" w:rsidRDefault="00F81AFD" w:rsidP="00F81AFD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(A)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with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the intent to promote the carrying on of specified unlawful activity [shall be guilty of an offense against the United States].</w:t>
      </w:r>
    </w:p>
    <w:p w:rsidR="00F81AFD" w:rsidRDefault="00F81AFD" w:rsidP="00F81AFD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fine.</w:t>
      </w: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E94C53">
        <w:rPr>
          <w:rFonts w:ascii="Times New Roman" w:eastAsia="Arial" w:hAnsi="Times New Roman"/>
          <w:i/>
          <w:sz w:val="26"/>
          <w:szCs w:val="26"/>
        </w:rPr>
        <w:t xml:space="preserve">United States v. </w:t>
      </w:r>
      <w:proofErr w:type="spellStart"/>
      <w:r w:rsidRPr="00E94C53">
        <w:rPr>
          <w:rFonts w:ascii="Times New Roman" w:eastAsia="Arial" w:hAnsi="Times New Roman"/>
          <w:i/>
          <w:sz w:val="26"/>
          <w:szCs w:val="26"/>
        </w:rPr>
        <w:t>Cancelliere</w:t>
      </w:r>
      <w:proofErr w:type="spellEnd"/>
      <w:r>
        <w:rPr>
          <w:rFonts w:ascii="Times New Roman" w:eastAsia="Arial" w:hAnsi="Times New Roman"/>
          <w:sz w:val="26"/>
          <w:szCs w:val="26"/>
        </w:rPr>
        <w:t>, 69 F.3d 1116 (11</w:t>
      </w:r>
      <w:r w:rsidRPr="008612BF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1995), the Court held that although proof of willfulness is not a statutory element of money laundering, where the indictment expressly charged willfulness, the District Court erred in not giving the usual instruction on willfulness (Basic Instruction 9.1A).</w:t>
      </w: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term “proceeds” in 18 U.S.C. § 1956 was expressly defined by the Fraud Enforcement and Recovery Act of 2009 (“FERA”), Pub. </w:t>
      </w:r>
      <w:proofErr w:type="gramStart"/>
      <w:r>
        <w:rPr>
          <w:rFonts w:ascii="Times New Roman" w:eastAsia="Arial" w:hAnsi="Times New Roman"/>
          <w:sz w:val="26"/>
          <w:szCs w:val="26"/>
        </w:rPr>
        <w:t>L. No. 111-21, effective May 20, 2009.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The FERA expanded the concept of monetary proceeds, for purposes of enforcing prohibitions against money laundering, to include gross receipts. </w:t>
      </w:r>
      <w:r w:rsidRPr="00E94C53">
        <w:rPr>
          <w:rFonts w:ascii="Times New Roman" w:eastAsia="Arial" w:hAnsi="Times New Roman"/>
          <w:i/>
          <w:sz w:val="26"/>
          <w:szCs w:val="26"/>
        </w:rPr>
        <w:t>See</w:t>
      </w:r>
      <w:r>
        <w:rPr>
          <w:rFonts w:ascii="Times New Roman" w:eastAsia="Arial" w:hAnsi="Times New Roman"/>
          <w:sz w:val="26"/>
          <w:szCs w:val="26"/>
        </w:rPr>
        <w:t xml:space="preserve"> 18 U.S.C. § 1956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9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FERA was a direct response to </w:t>
      </w:r>
      <w:r w:rsidRPr="00E94C53">
        <w:rPr>
          <w:rFonts w:ascii="Times New Roman" w:eastAsia="Arial" w:hAnsi="Times New Roman"/>
          <w:i/>
          <w:sz w:val="26"/>
          <w:szCs w:val="26"/>
        </w:rPr>
        <w:t>United States v. Santos</w:t>
      </w:r>
      <w:r>
        <w:rPr>
          <w:rFonts w:ascii="Times New Roman" w:eastAsia="Arial" w:hAnsi="Times New Roman"/>
          <w:sz w:val="26"/>
          <w:szCs w:val="26"/>
        </w:rPr>
        <w:t xml:space="preserve">, 128 S. Ct. 2020 (2008). In </w:t>
      </w:r>
      <w:r w:rsidRPr="00E94C53">
        <w:rPr>
          <w:rFonts w:ascii="Times New Roman" w:eastAsia="Arial" w:hAnsi="Times New Roman"/>
          <w:i/>
          <w:sz w:val="26"/>
          <w:szCs w:val="26"/>
        </w:rPr>
        <w:t>Santos</w:t>
      </w:r>
      <w:r>
        <w:rPr>
          <w:rFonts w:ascii="Times New Roman" w:eastAsia="Arial" w:hAnsi="Times New Roman"/>
          <w:sz w:val="26"/>
          <w:szCs w:val="26"/>
        </w:rPr>
        <w:t>, a plurality of the U.S. Supreme Court held that the definition of the term “proceeds” in 18 U.S.C. § 1956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(A)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refers to “profits” rather than “receipts” when applied to a prosecution arising from an illegal stand-alone gambling operation. Until the FERA, the definition of “proceeds” in the money laundering statute remained unclear.</w:t>
      </w: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Eleventh Circuit has construed the fragmented </w:t>
      </w:r>
      <w:r w:rsidRPr="00E94C53">
        <w:rPr>
          <w:rFonts w:ascii="Times New Roman" w:eastAsia="Arial" w:hAnsi="Times New Roman"/>
          <w:i/>
          <w:sz w:val="26"/>
          <w:szCs w:val="26"/>
        </w:rPr>
        <w:t>Santos</w:t>
      </w:r>
      <w:r>
        <w:rPr>
          <w:rFonts w:ascii="Times New Roman" w:eastAsia="Arial" w:hAnsi="Times New Roman"/>
          <w:sz w:val="26"/>
          <w:szCs w:val="26"/>
        </w:rPr>
        <w:t xml:space="preserve"> opinion narrowly. In </w:t>
      </w:r>
      <w:r w:rsidRPr="00E94C53">
        <w:rPr>
          <w:rFonts w:ascii="Times New Roman" w:eastAsia="Arial" w:hAnsi="Times New Roman"/>
          <w:i/>
          <w:sz w:val="26"/>
          <w:szCs w:val="26"/>
        </w:rPr>
        <w:t>United States v. Demarest</w:t>
      </w:r>
      <w:r>
        <w:rPr>
          <w:rFonts w:ascii="Times New Roman" w:eastAsia="Arial" w:hAnsi="Times New Roman"/>
          <w:sz w:val="26"/>
          <w:szCs w:val="26"/>
        </w:rPr>
        <w:t>, 570 F.3d 1232 (11</w:t>
      </w:r>
      <w:r w:rsidRPr="008612BF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2009), a case in which the trial took place prior to the FERA’s enactment, the Court noted:</w:t>
      </w: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81AFD" w:rsidRDefault="00F81AFD" w:rsidP="00F81AFD">
      <w:pPr>
        <w:spacing w:after="0" w:line="240" w:lineRule="auto"/>
        <w:ind w:left="1440" w:right="1440"/>
        <w:jc w:val="both"/>
        <w:rPr>
          <w:rFonts w:ascii="Times New Roman" w:eastAsia="Arial" w:hAnsi="Times New Roman"/>
          <w:sz w:val="26"/>
          <w:szCs w:val="26"/>
        </w:rPr>
      </w:pPr>
      <w:r w:rsidRPr="00E94C53">
        <w:rPr>
          <w:rFonts w:ascii="Times New Roman" w:eastAsia="Arial" w:hAnsi="Times New Roman"/>
          <w:i/>
          <w:sz w:val="26"/>
          <w:szCs w:val="26"/>
        </w:rPr>
        <w:t>Santos</w:t>
      </w:r>
      <w:r>
        <w:rPr>
          <w:rFonts w:ascii="Times New Roman" w:eastAsia="Arial" w:hAnsi="Times New Roman"/>
          <w:sz w:val="26"/>
          <w:szCs w:val="26"/>
        </w:rPr>
        <w:t xml:space="preserve"> has limited precedential value… The narrow holding in [the case], at most, was that the gross receipts of an unlicensed gambling operation were not ‘proceeds’ under section 1956…</w:t>
      </w:r>
    </w:p>
    <w:p w:rsid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F81AFD" w:rsidRDefault="00F81AFD" w:rsidP="00F81A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proofErr w:type="gramStart"/>
      <w:r w:rsidRPr="00E94C53">
        <w:rPr>
          <w:rFonts w:ascii="Times New Roman" w:eastAsia="Arial" w:hAnsi="Times New Roman"/>
          <w:i/>
          <w:sz w:val="26"/>
          <w:szCs w:val="26"/>
        </w:rPr>
        <w:t>Id</w:t>
      </w:r>
      <w:r>
        <w:rPr>
          <w:rFonts w:ascii="Times New Roman" w:eastAsia="Arial" w:hAnsi="Times New Roman"/>
          <w:sz w:val="26"/>
          <w:szCs w:val="26"/>
        </w:rPr>
        <w:t>. at 1242.</w:t>
      </w:r>
      <w:bookmarkEnd w:id="0"/>
      <w:proofErr w:type="gramEnd"/>
    </w:p>
    <w:sectPr w:rsidR="00725167" w:rsidRPr="00F81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0E" w:rsidRDefault="000E040E" w:rsidP="000E040E">
      <w:pPr>
        <w:spacing w:after="0" w:line="240" w:lineRule="auto"/>
      </w:pPr>
      <w:r>
        <w:separator/>
      </w:r>
    </w:p>
  </w:endnote>
  <w:endnote w:type="continuationSeparator" w:id="0">
    <w:p w:rsidR="000E040E" w:rsidRDefault="000E040E" w:rsidP="000E0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0E" w:rsidRDefault="000E040E" w:rsidP="000E040E">
      <w:pPr>
        <w:spacing w:after="0" w:line="240" w:lineRule="auto"/>
      </w:pPr>
      <w:r>
        <w:separator/>
      </w:r>
    </w:p>
  </w:footnote>
  <w:footnote w:type="continuationSeparator" w:id="0">
    <w:p w:rsidR="000E040E" w:rsidRDefault="000E040E" w:rsidP="000E0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E040E"/>
    <w:rsid w:val="00110446"/>
    <w:rsid w:val="001217D5"/>
    <w:rsid w:val="0012744C"/>
    <w:rsid w:val="00135397"/>
    <w:rsid w:val="00137BA2"/>
    <w:rsid w:val="00144B24"/>
    <w:rsid w:val="001536CF"/>
    <w:rsid w:val="00157747"/>
    <w:rsid w:val="00166AB9"/>
    <w:rsid w:val="00194E82"/>
    <w:rsid w:val="001E3479"/>
    <w:rsid w:val="001E4EF8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43EBC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3618"/>
    <w:rsid w:val="00636B96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745AC"/>
    <w:rsid w:val="009A4745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B102A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94C5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7146C"/>
    <w:rsid w:val="00F81AFD"/>
    <w:rsid w:val="00F8667A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0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40E"/>
  </w:style>
  <w:style w:type="paragraph" w:styleId="Footer">
    <w:name w:val="footer"/>
    <w:basedOn w:val="Normal"/>
    <w:link w:val="FooterChar"/>
    <w:uiPriority w:val="99"/>
    <w:unhideWhenUsed/>
    <w:rsid w:val="000E0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4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0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40E"/>
  </w:style>
  <w:style w:type="paragraph" w:styleId="Footer">
    <w:name w:val="footer"/>
    <w:basedOn w:val="Normal"/>
    <w:link w:val="FooterChar"/>
    <w:uiPriority w:val="99"/>
    <w:unhideWhenUsed/>
    <w:rsid w:val="000E0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2014-04-01T00:38:00Z</dcterms:created>
  <dcterms:modified xsi:type="dcterms:W3CDTF">2014-06-17T16:16:00Z</dcterms:modified>
</cp:coreProperties>
</file>