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0E3" w:rsidRDefault="005F50E3" w:rsidP="005F50E3">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5F50E3" w:rsidRDefault="005F50E3" w:rsidP="005F50E3">
      <w:pPr>
        <w:spacing w:after="0" w:line="240" w:lineRule="auto"/>
        <w:jc w:val="both"/>
        <w:rPr>
          <w:rFonts w:ascii="Times New Roman" w:eastAsia="Arial" w:hAnsi="Times New Roman"/>
          <w:sz w:val="26"/>
          <w:szCs w:val="26"/>
        </w:rPr>
      </w:pPr>
    </w:p>
    <w:p w:rsidR="005F50E3" w:rsidRDefault="005F50E3" w:rsidP="005F50E3">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1956</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rsidR="005F50E3" w:rsidRDefault="005F50E3" w:rsidP="005F50E3">
      <w:pPr>
        <w:spacing w:after="0" w:line="240" w:lineRule="auto"/>
        <w:jc w:val="both"/>
        <w:rPr>
          <w:rFonts w:ascii="Times New Roman" w:eastAsia="Arial" w:hAnsi="Times New Roman"/>
          <w:sz w:val="26"/>
          <w:szCs w:val="26"/>
        </w:rPr>
      </w:pPr>
    </w:p>
    <w:p w:rsidR="005F50E3" w:rsidRDefault="005F50E3" w:rsidP="005F50E3">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knowing that the property involved in a financial transaction represents the proceeds of some form of unlawful activity, conducts or attempts to conduct such a financial transaction which in fact involves the proceeds of specified unlawful activity - -</w:t>
      </w:r>
    </w:p>
    <w:p w:rsidR="005F50E3" w:rsidRDefault="005F50E3" w:rsidP="005F50E3">
      <w:pPr>
        <w:spacing w:after="0" w:line="240" w:lineRule="auto"/>
        <w:ind w:left="360" w:right="360" w:firstLine="360"/>
        <w:jc w:val="both"/>
        <w:rPr>
          <w:rFonts w:ascii="Times New Roman" w:eastAsia="Arial" w:hAnsi="Times New Roman"/>
          <w:sz w:val="26"/>
          <w:szCs w:val="26"/>
        </w:rPr>
      </w:pPr>
    </w:p>
    <w:p w:rsidR="005F50E3" w:rsidRDefault="005F50E3" w:rsidP="00574FCC">
      <w:pPr>
        <w:spacing w:after="0" w:line="240" w:lineRule="auto"/>
        <w:ind w:left="1080" w:right="720" w:firstLine="360"/>
        <w:jc w:val="both"/>
        <w:rPr>
          <w:rFonts w:ascii="Times New Roman" w:eastAsia="Arial" w:hAnsi="Times New Roman"/>
          <w:sz w:val="26"/>
          <w:szCs w:val="26"/>
        </w:rPr>
      </w:pPr>
      <w:r>
        <w:rPr>
          <w:rFonts w:ascii="Times New Roman" w:eastAsia="Arial" w:hAnsi="Times New Roman"/>
          <w:sz w:val="26"/>
          <w:szCs w:val="26"/>
        </w:rPr>
        <w:t xml:space="preserve">(B) </w:t>
      </w:r>
      <w:proofErr w:type="gramStart"/>
      <w:r>
        <w:rPr>
          <w:rFonts w:ascii="Times New Roman" w:eastAsia="Arial" w:hAnsi="Times New Roman"/>
          <w:sz w:val="26"/>
          <w:szCs w:val="26"/>
        </w:rPr>
        <w:t>knowing</w:t>
      </w:r>
      <w:proofErr w:type="gramEnd"/>
      <w:r>
        <w:rPr>
          <w:rFonts w:ascii="Times New Roman" w:eastAsia="Arial" w:hAnsi="Times New Roman"/>
          <w:sz w:val="26"/>
          <w:szCs w:val="26"/>
        </w:rPr>
        <w:t xml:space="preserve"> that the transaction is designed in whole or in part - -</w:t>
      </w:r>
    </w:p>
    <w:p w:rsidR="005F50E3" w:rsidRDefault="005F50E3" w:rsidP="005F50E3">
      <w:pPr>
        <w:spacing w:after="0" w:line="240" w:lineRule="auto"/>
        <w:ind w:left="720" w:right="720" w:firstLine="360"/>
        <w:jc w:val="both"/>
        <w:rPr>
          <w:rFonts w:ascii="Times New Roman" w:eastAsia="Arial" w:hAnsi="Times New Roman"/>
          <w:sz w:val="26"/>
          <w:szCs w:val="26"/>
        </w:rPr>
      </w:pPr>
    </w:p>
    <w:p w:rsidR="005F50E3" w:rsidRDefault="005F50E3" w:rsidP="005F50E3">
      <w:pPr>
        <w:spacing w:after="0" w:line="240" w:lineRule="auto"/>
        <w:ind w:left="1080" w:right="108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6 \s 1 </w:instrText>
      </w:r>
      <w:r>
        <w:rPr>
          <w:rFonts w:ascii="Times New Roman" w:eastAsia="Arial" w:hAnsi="Times New Roman"/>
          <w:sz w:val="26"/>
          <w:szCs w:val="26"/>
        </w:rPr>
        <w:fldChar w:fldCharType="end"/>
      </w:r>
      <w:r>
        <w:rPr>
          <w:rFonts w:ascii="Times New Roman" w:eastAsia="Arial" w:hAnsi="Times New Roman"/>
          <w:sz w:val="26"/>
          <w:szCs w:val="26"/>
        </w:rPr>
        <w:t xml:space="preserve"> </w:t>
      </w:r>
      <w:proofErr w:type="gramStart"/>
      <w:r>
        <w:rPr>
          <w:rFonts w:ascii="Times New Roman" w:eastAsia="Arial" w:hAnsi="Times New Roman"/>
          <w:sz w:val="26"/>
          <w:szCs w:val="26"/>
        </w:rPr>
        <w:t>to</w:t>
      </w:r>
      <w:proofErr w:type="gramEnd"/>
      <w:r>
        <w:rPr>
          <w:rFonts w:ascii="Times New Roman" w:eastAsia="Arial" w:hAnsi="Times New Roman"/>
          <w:sz w:val="26"/>
          <w:szCs w:val="26"/>
        </w:rPr>
        <w:t xml:space="preserve"> conceal or disguise the nature, the location, the source, the ownership, or the control of the proceeds of specified unlawful activity; or</w:t>
      </w:r>
    </w:p>
    <w:p w:rsidR="005F50E3" w:rsidRDefault="005F50E3" w:rsidP="005F50E3">
      <w:pPr>
        <w:spacing w:after="0" w:line="240" w:lineRule="auto"/>
        <w:ind w:left="1080" w:right="1080" w:firstLine="360"/>
        <w:jc w:val="both"/>
        <w:rPr>
          <w:rFonts w:ascii="Times New Roman" w:eastAsia="Arial" w:hAnsi="Times New Roman"/>
          <w:sz w:val="26"/>
          <w:szCs w:val="26"/>
        </w:rPr>
      </w:pPr>
    </w:p>
    <w:p w:rsidR="005F50E3" w:rsidRDefault="005F50E3" w:rsidP="005F50E3">
      <w:pPr>
        <w:spacing w:after="0" w:line="240" w:lineRule="auto"/>
        <w:ind w:left="1080" w:right="108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6 \s 2 </w:instrText>
      </w:r>
      <w:r>
        <w:rPr>
          <w:rFonts w:ascii="Times New Roman" w:eastAsia="Arial" w:hAnsi="Times New Roman"/>
          <w:sz w:val="26"/>
          <w:szCs w:val="26"/>
        </w:rPr>
        <w:fldChar w:fldCharType="end"/>
      </w:r>
      <w:r>
        <w:rPr>
          <w:rFonts w:ascii="Times New Roman" w:eastAsia="Arial" w:hAnsi="Times New Roman"/>
          <w:sz w:val="26"/>
          <w:szCs w:val="26"/>
        </w:rPr>
        <w:t xml:space="preserve"> </w:t>
      </w:r>
      <w:proofErr w:type="gramStart"/>
      <w:r>
        <w:rPr>
          <w:rFonts w:ascii="Times New Roman" w:eastAsia="Arial" w:hAnsi="Times New Roman"/>
          <w:sz w:val="26"/>
          <w:szCs w:val="26"/>
        </w:rPr>
        <w:t>to</w:t>
      </w:r>
      <w:proofErr w:type="gramEnd"/>
      <w:r>
        <w:rPr>
          <w:rFonts w:ascii="Times New Roman" w:eastAsia="Arial" w:hAnsi="Times New Roman"/>
          <w:sz w:val="26"/>
          <w:szCs w:val="26"/>
        </w:rPr>
        <w:t xml:space="preserve"> avoid a transaction reporting requirement under State or Federal law [shall be guilty of an offense against the United States].</w:t>
      </w:r>
    </w:p>
    <w:p w:rsidR="005F50E3" w:rsidRDefault="005F50E3" w:rsidP="005F50E3">
      <w:pPr>
        <w:spacing w:after="0" w:line="240" w:lineRule="auto"/>
        <w:ind w:right="360"/>
        <w:jc w:val="both"/>
        <w:rPr>
          <w:rFonts w:ascii="Times New Roman" w:eastAsia="Arial" w:hAnsi="Times New Roman"/>
          <w:sz w:val="26"/>
          <w:szCs w:val="26"/>
        </w:rPr>
      </w:pPr>
    </w:p>
    <w:p w:rsidR="005F50E3" w:rsidRDefault="005F50E3" w:rsidP="005F50E3">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Maximum Penalty: Twenty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20 </w:instrText>
      </w:r>
      <w:r>
        <w:rPr>
          <w:rFonts w:ascii="Times New Roman" w:eastAsia="Arial" w:hAnsi="Times New Roman"/>
          <w:sz w:val="26"/>
          <w:szCs w:val="26"/>
        </w:rPr>
        <w:fldChar w:fldCharType="end"/>
      </w:r>
      <w:r>
        <w:rPr>
          <w:rFonts w:ascii="Times New Roman" w:eastAsia="Arial" w:hAnsi="Times New Roman"/>
          <w:sz w:val="26"/>
          <w:szCs w:val="26"/>
        </w:rPr>
        <w:t xml:space="preserve"> years imprisonment and applicable fine.</w:t>
      </w:r>
    </w:p>
    <w:p w:rsidR="005F50E3" w:rsidRDefault="005F50E3" w:rsidP="005F50E3">
      <w:pPr>
        <w:spacing w:after="0" w:line="240" w:lineRule="auto"/>
        <w:jc w:val="both"/>
        <w:rPr>
          <w:rFonts w:ascii="Times New Roman" w:eastAsia="Arial" w:hAnsi="Times New Roman"/>
          <w:sz w:val="26"/>
          <w:szCs w:val="26"/>
        </w:rPr>
      </w:pPr>
    </w:p>
    <w:p w:rsidR="005F50E3" w:rsidRDefault="005F50E3" w:rsidP="005F50E3">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In </w:t>
      </w:r>
      <w:r w:rsidRPr="00157601">
        <w:rPr>
          <w:rFonts w:ascii="Times New Roman" w:eastAsia="Arial" w:hAnsi="Times New Roman"/>
          <w:i/>
          <w:sz w:val="26"/>
          <w:szCs w:val="26"/>
        </w:rPr>
        <w:t xml:space="preserve">United States v. </w:t>
      </w:r>
      <w:proofErr w:type="spellStart"/>
      <w:r w:rsidRPr="00157601">
        <w:rPr>
          <w:rFonts w:ascii="Times New Roman" w:eastAsia="Arial" w:hAnsi="Times New Roman"/>
          <w:i/>
          <w:sz w:val="26"/>
          <w:szCs w:val="26"/>
        </w:rPr>
        <w:t>Cancelliere</w:t>
      </w:r>
      <w:proofErr w:type="spellEnd"/>
      <w:r>
        <w:rPr>
          <w:rFonts w:ascii="Times New Roman" w:eastAsia="Arial" w:hAnsi="Times New Roman"/>
          <w:sz w:val="26"/>
          <w:szCs w:val="26"/>
        </w:rPr>
        <w:t>, 69 F.3d 1116 (11</w:t>
      </w:r>
      <w:r w:rsidRPr="008612BF">
        <w:rPr>
          <w:rFonts w:ascii="Times New Roman" w:eastAsia="Arial" w:hAnsi="Times New Roman"/>
          <w:sz w:val="26"/>
          <w:szCs w:val="26"/>
          <w:vertAlign w:val="superscript"/>
        </w:rPr>
        <w:t>th</w:t>
      </w:r>
      <w:r>
        <w:rPr>
          <w:rFonts w:ascii="Times New Roman" w:eastAsia="Arial" w:hAnsi="Times New Roman"/>
          <w:sz w:val="26"/>
          <w:szCs w:val="26"/>
        </w:rPr>
        <w:t xml:space="preserve"> Cir. 1995), the Court held that although proof of willfulness is not a statutory element of money laundering, where the indictment expressly charged willfulness, the District Court erred in not giving the usual instruction on willfulness (Basic Instruction 9.1A).</w:t>
      </w:r>
    </w:p>
    <w:p w:rsidR="005F50E3" w:rsidRDefault="005F50E3" w:rsidP="005F50E3">
      <w:pPr>
        <w:spacing w:after="0" w:line="240" w:lineRule="auto"/>
        <w:jc w:val="both"/>
        <w:rPr>
          <w:rFonts w:ascii="Times New Roman" w:eastAsia="Arial" w:hAnsi="Times New Roman"/>
          <w:sz w:val="26"/>
          <w:szCs w:val="26"/>
        </w:rPr>
      </w:pPr>
    </w:p>
    <w:p w:rsidR="005F50E3" w:rsidRDefault="005F50E3" w:rsidP="005F50E3">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term “proceeds” in 18 U.S.C. § 1956 was expressly defined by the Fraud Enforcement and Recovery Act of 2009 (“FERA”), Pub. </w:t>
      </w:r>
      <w:proofErr w:type="gramStart"/>
      <w:r>
        <w:rPr>
          <w:rFonts w:ascii="Times New Roman" w:eastAsia="Arial" w:hAnsi="Times New Roman"/>
          <w:sz w:val="26"/>
          <w:szCs w:val="26"/>
        </w:rPr>
        <w:t>L. No. 111-21, effective May 20, 2009.</w:t>
      </w:r>
      <w:proofErr w:type="gramEnd"/>
      <w:r>
        <w:rPr>
          <w:rFonts w:ascii="Times New Roman" w:eastAsia="Arial" w:hAnsi="Times New Roman"/>
          <w:sz w:val="26"/>
          <w:szCs w:val="26"/>
        </w:rPr>
        <w:t xml:space="preserve"> The FERA expanded the concept of monetary proceeds, for purposes of enforcing prohibitions against money laundering, to include gross receipts. </w:t>
      </w:r>
      <w:r w:rsidRPr="00157601">
        <w:rPr>
          <w:rFonts w:ascii="Times New Roman" w:eastAsia="Arial" w:hAnsi="Times New Roman"/>
          <w:i/>
          <w:sz w:val="26"/>
          <w:szCs w:val="26"/>
        </w:rPr>
        <w:t>See</w:t>
      </w:r>
      <w:r>
        <w:rPr>
          <w:rFonts w:ascii="Times New Roman" w:eastAsia="Arial" w:hAnsi="Times New Roman"/>
          <w:sz w:val="26"/>
          <w:szCs w:val="26"/>
        </w:rPr>
        <w:t xml:space="preserve"> 18 U.S.C. § 1956</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9 </w:instrText>
      </w:r>
      <w:r>
        <w:rPr>
          <w:rFonts w:ascii="Times New Roman" w:eastAsia="Arial" w:hAnsi="Times New Roman"/>
          <w:sz w:val="26"/>
          <w:szCs w:val="26"/>
        </w:rPr>
        <w:fldChar w:fldCharType="end"/>
      </w:r>
      <w:r>
        <w:rPr>
          <w:rFonts w:ascii="Times New Roman" w:eastAsia="Arial" w:hAnsi="Times New Roman"/>
          <w:sz w:val="26"/>
          <w:szCs w:val="26"/>
        </w:rPr>
        <w:t>.</w:t>
      </w:r>
    </w:p>
    <w:p w:rsidR="005F50E3" w:rsidRDefault="005F50E3" w:rsidP="005F50E3">
      <w:pPr>
        <w:spacing w:after="0" w:line="240" w:lineRule="auto"/>
        <w:jc w:val="both"/>
        <w:rPr>
          <w:rFonts w:ascii="Times New Roman" w:eastAsia="Arial" w:hAnsi="Times New Roman"/>
          <w:sz w:val="26"/>
          <w:szCs w:val="26"/>
        </w:rPr>
      </w:pPr>
    </w:p>
    <w:p w:rsidR="005F50E3" w:rsidRDefault="005F50E3" w:rsidP="005F50E3">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FERA was a direct response to </w:t>
      </w:r>
      <w:r w:rsidRPr="00157601">
        <w:rPr>
          <w:rFonts w:ascii="Times New Roman" w:eastAsia="Arial" w:hAnsi="Times New Roman"/>
          <w:i/>
          <w:sz w:val="26"/>
          <w:szCs w:val="26"/>
        </w:rPr>
        <w:t>United States v. Santos</w:t>
      </w:r>
      <w:r>
        <w:rPr>
          <w:rFonts w:ascii="Times New Roman" w:eastAsia="Arial" w:hAnsi="Times New Roman"/>
          <w:sz w:val="26"/>
          <w:szCs w:val="26"/>
        </w:rPr>
        <w:t xml:space="preserve">, 128 S. Ct. 2020 (2008). In </w:t>
      </w:r>
      <w:r w:rsidRPr="00157601">
        <w:rPr>
          <w:rFonts w:ascii="Times New Roman" w:eastAsia="Arial" w:hAnsi="Times New Roman"/>
          <w:i/>
          <w:sz w:val="26"/>
          <w:szCs w:val="26"/>
        </w:rPr>
        <w:t>Santos</w:t>
      </w:r>
      <w:r>
        <w:rPr>
          <w:rFonts w:ascii="Times New Roman" w:eastAsia="Arial" w:hAnsi="Times New Roman"/>
          <w:sz w:val="26"/>
          <w:szCs w:val="26"/>
        </w:rPr>
        <w:t>, a plurality of the U.S. Supreme Court held that the definition of the term “proceeds” in 18 U.S.C. § 1956</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(A)</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6 \s 1 </w:instrText>
      </w:r>
      <w:r>
        <w:rPr>
          <w:rFonts w:ascii="Times New Roman" w:eastAsia="Arial" w:hAnsi="Times New Roman"/>
          <w:sz w:val="26"/>
          <w:szCs w:val="26"/>
        </w:rPr>
        <w:fldChar w:fldCharType="end"/>
      </w:r>
      <w:r>
        <w:rPr>
          <w:rFonts w:ascii="Times New Roman" w:eastAsia="Arial" w:hAnsi="Times New Roman"/>
          <w:sz w:val="26"/>
          <w:szCs w:val="26"/>
        </w:rPr>
        <w:t xml:space="preserve"> refers to “profits” rather than “receipts” when applied to a prosecution arising from an illegal stand-alone gambling operation. Until the FERA, the definition of “proceeds” in the money laundering statute remained unclear.</w:t>
      </w:r>
    </w:p>
    <w:p w:rsidR="005F50E3" w:rsidRDefault="005F50E3" w:rsidP="005F50E3">
      <w:pPr>
        <w:spacing w:after="0" w:line="240" w:lineRule="auto"/>
        <w:jc w:val="both"/>
        <w:rPr>
          <w:rFonts w:ascii="Times New Roman" w:eastAsia="Arial" w:hAnsi="Times New Roman"/>
          <w:sz w:val="26"/>
          <w:szCs w:val="26"/>
        </w:rPr>
      </w:pPr>
    </w:p>
    <w:p w:rsidR="005F50E3" w:rsidRDefault="005F50E3" w:rsidP="005F50E3">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Eleventh Circuit has construed the fragmented </w:t>
      </w:r>
      <w:r w:rsidRPr="00157601">
        <w:rPr>
          <w:rFonts w:ascii="Times New Roman" w:eastAsia="Arial" w:hAnsi="Times New Roman"/>
          <w:i/>
          <w:sz w:val="26"/>
          <w:szCs w:val="26"/>
        </w:rPr>
        <w:t>Santos</w:t>
      </w:r>
      <w:r>
        <w:rPr>
          <w:rFonts w:ascii="Times New Roman" w:eastAsia="Arial" w:hAnsi="Times New Roman"/>
          <w:sz w:val="26"/>
          <w:szCs w:val="26"/>
        </w:rPr>
        <w:t xml:space="preserve"> opinion narrowly. In </w:t>
      </w:r>
      <w:r w:rsidRPr="00157601">
        <w:rPr>
          <w:rFonts w:ascii="Times New Roman" w:eastAsia="Arial" w:hAnsi="Times New Roman"/>
          <w:i/>
          <w:sz w:val="26"/>
          <w:szCs w:val="26"/>
        </w:rPr>
        <w:t>United States v. Demarest</w:t>
      </w:r>
      <w:r>
        <w:rPr>
          <w:rFonts w:ascii="Times New Roman" w:eastAsia="Arial" w:hAnsi="Times New Roman"/>
          <w:sz w:val="26"/>
          <w:szCs w:val="26"/>
        </w:rPr>
        <w:t>, 570 F.3d 1232 (11</w:t>
      </w:r>
      <w:r w:rsidRPr="008612BF">
        <w:rPr>
          <w:rFonts w:ascii="Times New Roman" w:eastAsia="Arial" w:hAnsi="Times New Roman"/>
          <w:sz w:val="26"/>
          <w:szCs w:val="26"/>
          <w:vertAlign w:val="superscript"/>
        </w:rPr>
        <w:t>th</w:t>
      </w:r>
      <w:r>
        <w:rPr>
          <w:rFonts w:ascii="Times New Roman" w:eastAsia="Arial" w:hAnsi="Times New Roman"/>
          <w:sz w:val="26"/>
          <w:szCs w:val="26"/>
        </w:rPr>
        <w:t xml:space="preserve"> Cir. 2009), a case in which the trial took place prior to the FERA’s enactment, the Court noted:</w:t>
      </w:r>
    </w:p>
    <w:p w:rsidR="005F50E3" w:rsidRDefault="005F50E3" w:rsidP="005F50E3">
      <w:pPr>
        <w:spacing w:after="0" w:line="240" w:lineRule="auto"/>
        <w:jc w:val="both"/>
        <w:rPr>
          <w:rFonts w:ascii="Times New Roman" w:eastAsia="Arial" w:hAnsi="Times New Roman"/>
          <w:sz w:val="26"/>
          <w:szCs w:val="26"/>
        </w:rPr>
      </w:pPr>
    </w:p>
    <w:p w:rsidR="005F50E3" w:rsidRDefault="005F50E3" w:rsidP="005F50E3">
      <w:pPr>
        <w:spacing w:after="0" w:line="240" w:lineRule="auto"/>
        <w:ind w:left="1440" w:right="1440"/>
        <w:jc w:val="both"/>
        <w:rPr>
          <w:rFonts w:ascii="Times New Roman" w:eastAsia="Arial" w:hAnsi="Times New Roman"/>
          <w:sz w:val="26"/>
          <w:szCs w:val="26"/>
        </w:rPr>
      </w:pPr>
      <w:r w:rsidRPr="00157601">
        <w:rPr>
          <w:rFonts w:ascii="Times New Roman" w:eastAsia="Arial" w:hAnsi="Times New Roman"/>
          <w:i/>
          <w:sz w:val="26"/>
          <w:szCs w:val="26"/>
        </w:rPr>
        <w:t>Santos</w:t>
      </w:r>
      <w:r>
        <w:rPr>
          <w:rFonts w:ascii="Times New Roman" w:eastAsia="Arial" w:hAnsi="Times New Roman"/>
          <w:sz w:val="26"/>
          <w:szCs w:val="26"/>
        </w:rPr>
        <w:t xml:space="preserve"> has limited precedential value… The narrow holding in [the case], at most, was that the gross receipts of an </w:t>
      </w:r>
      <w:r>
        <w:rPr>
          <w:rFonts w:ascii="Times New Roman" w:eastAsia="Arial" w:hAnsi="Times New Roman"/>
          <w:sz w:val="26"/>
          <w:szCs w:val="26"/>
        </w:rPr>
        <w:lastRenderedPageBreak/>
        <w:t>unlicensed gambling operation were not ‘proceeds’ under section 1956…</w:t>
      </w:r>
    </w:p>
    <w:p w:rsidR="005F50E3" w:rsidRDefault="005F50E3" w:rsidP="005F50E3">
      <w:pPr>
        <w:spacing w:after="0" w:line="240" w:lineRule="auto"/>
        <w:jc w:val="both"/>
        <w:rPr>
          <w:rFonts w:ascii="Times New Roman" w:eastAsia="Arial" w:hAnsi="Times New Roman"/>
          <w:sz w:val="26"/>
          <w:szCs w:val="26"/>
        </w:rPr>
      </w:pPr>
    </w:p>
    <w:p w:rsidR="005F50E3" w:rsidRDefault="005F50E3" w:rsidP="005F50E3">
      <w:pPr>
        <w:spacing w:after="0" w:line="240" w:lineRule="auto"/>
        <w:ind w:left="1440" w:right="1440"/>
        <w:jc w:val="both"/>
        <w:rPr>
          <w:rFonts w:ascii="Times New Roman" w:eastAsia="Arial" w:hAnsi="Times New Roman"/>
          <w:sz w:val="26"/>
          <w:szCs w:val="26"/>
        </w:rPr>
      </w:pPr>
      <w:proofErr w:type="gramStart"/>
      <w:r w:rsidRPr="00157601">
        <w:rPr>
          <w:rFonts w:ascii="Times New Roman" w:eastAsia="Arial" w:hAnsi="Times New Roman"/>
          <w:i/>
          <w:sz w:val="26"/>
          <w:szCs w:val="26"/>
        </w:rPr>
        <w:t>Id</w:t>
      </w:r>
      <w:r>
        <w:rPr>
          <w:rFonts w:ascii="Times New Roman" w:eastAsia="Arial" w:hAnsi="Times New Roman"/>
          <w:sz w:val="26"/>
          <w:szCs w:val="26"/>
        </w:rPr>
        <w:t>. at 1242.</w:t>
      </w:r>
      <w:proofErr w:type="gramEnd"/>
    </w:p>
    <w:p w:rsidR="005F50E3" w:rsidRDefault="005F50E3" w:rsidP="005F50E3">
      <w:pPr>
        <w:spacing w:after="0" w:line="240" w:lineRule="auto"/>
        <w:jc w:val="both"/>
        <w:rPr>
          <w:rFonts w:ascii="Times New Roman" w:eastAsia="Arial" w:hAnsi="Times New Roman"/>
          <w:sz w:val="26"/>
          <w:szCs w:val="26"/>
        </w:rPr>
      </w:pPr>
    </w:p>
    <w:p w:rsidR="00725167" w:rsidRPr="005F50E3" w:rsidRDefault="005F50E3" w:rsidP="005F50E3">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In </w:t>
      </w:r>
      <w:r w:rsidRPr="00157601">
        <w:rPr>
          <w:rFonts w:ascii="Times New Roman" w:eastAsia="Arial" w:hAnsi="Times New Roman"/>
          <w:i/>
          <w:sz w:val="26"/>
          <w:szCs w:val="26"/>
        </w:rPr>
        <w:t>Cuellar v. United States</w:t>
      </w:r>
      <w:r>
        <w:rPr>
          <w:rFonts w:ascii="Times New Roman" w:eastAsia="Arial" w:hAnsi="Times New Roman"/>
          <w:sz w:val="26"/>
          <w:szCs w:val="26"/>
        </w:rPr>
        <w:t>, 128 S. Ct. 1994 (2008), the Supreme Court held that although the Government doesn’t need to show that the defendant attempted to make illegal funds appear legitimate, it is required to show that the defendant did more than merely hide the funds during transport; to sustain a conviction, the Government must prove that the defendant knew that a purpose of the transportation was to conceal or disguise the illicit funds’ nature, locations, source, ownership, or control.</w:t>
      </w:r>
      <w:bookmarkEnd w:id="0"/>
    </w:p>
    <w:sectPr w:rsidR="00725167" w:rsidRPr="005F50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FBA" w:rsidRDefault="00F97FBA" w:rsidP="00F97FBA">
      <w:pPr>
        <w:spacing w:after="0" w:line="240" w:lineRule="auto"/>
      </w:pPr>
      <w:r>
        <w:separator/>
      </w:r>
    </w:p>
  </w:endnote>
  <w:endnote w:type="continuationSeparator" w:id="0">
    <w:p w:rsidR="00F97FBA" w:rsidRDefault="00F97FBA" w:rsidP="00F97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FBA" w:rsidRDefault="00F97FBA" w:rsidP="00F97FBA">
      <w:pPr>
        <w:spacing w:after="0" w:line="240" w:lineRule="auto"/>
      </w:pPr>
      <w:r>
        <w:separator/>
      </w:r>
    </w:p>
  </w:footnote>
  <w:footnote w:type="continuationSeparator" w:id="0">
    <w:p w:rsidR="00F97FBA" w:rsidRDefault="00F97FBA" w:rsidP="00F97F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217D5"/>
    <w:rsid w:val="0012744C"/>
    <w:rsid w:val="00135397"/>
    <w:rsid w:val="00137BA2"/>
    <w:rsid w:val="00144B24"/>
    <w:rsid w:val="001536CF"/>
    <w:rsid w:val="00157601"/>
    <w:rsid w:val="00157747"/>
    <w:rsid w:val="00166AB9"/>
    <w:rsid w:val="00194E82"/>
    <w:rsid w:val="001E3479"/>
    <w:rsid w:val="001E4EF8"/>
    <w:rsid w:val="001E5B53"/>
    <w:rsid w:val="002077C3"/>
    <w:rsid w:val="002161E7"/>
    <w:rsid w:val="002329BF"/>
    <w:rsid w:val="00233997"/>
    <w:rsid w:val="00236275"/>
    <w:rsid w:val="00245EF2"/>
    <w:rsid w:val="002604B9"/>
    <w:rsid w:val="00290544"/>
    <w:rsid w:val="002D2202"/>
    <w:rsid w:val="003067A0"/>
    <w:rsid w:val="00314335"/>
    <w:rsid w:val="00372806"/>
    <w:rsid w:val="003A75E9"/>
    <w:rsid w:val="003B0729"/>
    <w:rsid w:val="003B09A8"/>
    <w:rsid w:val="003D6207"/>
    <w:rsid w:val="00406A43"/>
    <w:rsid w:val="00431B02"/>
    <w:rsid w:val="00465F35"/>
    <w:rsid w:val="00483B81"/>
    <w:rsid w:val="004A1AAC"/>
    <w:rsid w:val="004A354F"/>
    <w:rsid w:val="004C148A"/>
    <w:rsid w:val="004C531E"/>
    <w:rsid w:val="004D06A2"/>
    <w:rsid w:val="00503A01"/>
    <w:rsid w:val="00511CE4"/>
    <w:rsid w:val="00543EBC"/>
    <w:rsid w:val="0056064A"/>
    <w:rsid w:val="00565EF7"/>
    <w:rsid w:val="00574FCC"/>
    <w:rsid w:val="00586722"/>
    <w:rsid w:val="005B45D9"/>
    <w:rsid w:val="005C4DB9"/>
    <w:rsid w:val="005F50E3"/>
    <w:rsid w:val="00615301"/>
    <w:rsid w:val="0061645E"/>
    <w:rsid w:val="006179FB"/>
    <w:rsid w:val="00632C46"/>
    <w:rsid w:val="00633618"/>
    <w:rsid w:val="00636B96"/>
    <w:rsid w:val="006B1FC0"/>
    <w:rsid w:val="006C204A"/>
    <w:rsid w:val="00725167"/>
    <w:rsid w:val="00780FDD"/>
    <w:rsid w:val="00783A2A"/>
    <w:rsid w:val="007C4B9C"/>
    <w:rsid w:val="0080418B"/>
    <w:rsid w:val="00804614"/>
    <w:rsid w:val="0081575C"/>
    <w:rsid w:val="00824AA2"/>
    <w:rsid w:val="00831238"/>
    <w:rsid w:val="00841F17"/>
    <w:rsid w:val="008A01B6"/>
    <w:rsid w:val="008A442C"/>
    <w:rsid w:val="008B149D"/>
    <w:rsid w:val="008B4118"/>
    <w:rsid w:val="008C025F"/>
    <w:rsid w:val="008C1CC7"/>
    <w:rsid w:val="008D77A9"/>
    <w:rsid w:val="008E0F69"/>
    <w:rsid w:val="008E221D"/>
    <w:rsid w:val="008E4BA2"/>
    <w:rsid w:val="008E7C9B"/>
    <w:rsid w:val="00912D2D"/>
    <w:rsid w:val="009458BA"/>
    <w:rsid w:val="009745AC"/>
    <w:rsid w:val="009A4745"/>
    <w:rsid w:val="009B3EC8"/>
    <w:rsid w:val="009C1E78"/>
    <w:rsid w:val="009E1B73"/>
    <w:rsid w:val="009F5DAD"/>
    <w:rsid w:val="00A355FD"/>
    <w:rsid w:val="00A66EA6"/>
    <w:rsid w:val="00A72248"/>
    <w:rsid w:val="00A746F3"/>
    <w:rsid w:val="00A82412"/>
    <w:rsid w:val="00AA01A6"/>
    <w:rsid w:val="00AA4174"/>
    <w:rsid w:val="00AC24E2"/>
    <w:rsid w:val="00AE0F43"/>
    <w:rsid w:val="00AE20D4"/>
    <w:rsid w:val="00AF2C77"/>
    <w:rsid w:val="00B111CD"/>
    <w:rsid w:val="00B11304"/>
    <w:rsid w:val="00B55CBA"/>
    <w:rsid w:val="00B8093D"/>
    <w:rsid w:val="00B83F0B"/>
    <w:rsid w:val="00B85D99"/>
    <w:rsid w:val="00B930F5"/>
    <w:rsid w:val="00BA1F2B"/>
    <w:rsid w:val="00BC6D90"/>
    <w:rsid w:val="00BD01A4"/>
    <w:rsid w:val="00BE616A"/>
    <w:rsid w:val="00BE645C"/>
    <w:rsid w:val="00C1091D"/>
    <w:rsid w:val="00C6290E"/>
    <w:rsid w:val="00C83E88"/>
    <w:rsid w:val="00CA3187"/>
    <w:rsid w:val="00CB4D2A"/>
    <w:rsid w:val="00CC4195"/>
    <w:rsid w:val="00CC4FBE"/>
    <w:rsid w:val="00CD51F7"/>
    <w:rsid w:val="00CD734E"/>
    <w:rsid w:val="00CE7DC5"/>
    <w:rsid w:val="00CF4F9A"/>
    <w:rsid w:val="00D163A7"/>
    <w:rsid w:val="00D513C4"/>
    <w:rsid w:val="00D7262F"/>
    <w:rsid w:val="00DA00D9"/>
    <w:rsid w:val="00DC18AE"/>
    <w:rsid w:val="00DC4B82"/>
    <w:rsid w:val="00DE06FC"/>
    <w:rsid w:val="00DE55A6"/>
    <w:rsid w:val="00DE7E97"/>
    <w:rsid w:val="00DE7F68"/>
    <w:rsid w:val="00E109DF"/>
    <w:rsid w:val="00E20CB0"/>
    <w:rsid w:val="00E31401"/>
    <w:rsid w:val="00E419F1"/>
    <w:rsid w:val="00E42DFC"/>
    <w:rsid w:val="00E4328C"/>
    <w:rsid w:val="00E47F68"/>
    <w:rsid w:val="00E61913"/>
    <w:rsid w:val="00E627E0"/>
    <w:rsid w:val="00E65F7A"/>
    <w:rsid w:val="00E81914"/>
    <w:rsid w:val="00E85563"/>
    <w:rsid w:val="00EA08A4"/>
    <w:rsid w:val="00EB1384"/>
    <w:rsid w:val="00EC39ED"/>
    <w:rsid w:val="00EC4504"/>
    <w:rsid w:val="00ED619F"/>
    <w:rsid w:val="00EF1AED"/>
    <w:rsid w:val="00F27B7F"/>
    <w:rsid w:val="00F57477"/>
    <w:rsid w:val="00F64671"/>
    <w:rsid w:val="00F7146C"/>
    <w:rsid w:val="00F81AFD"/>
    <w:rsid w:val="00F8667A"/>
    <w:rsid w:val="00F97FBA"/>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F97F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FBA"/>
  </w:style>
  <w:style w:type="paragraph" w:styleId="Footer">
    <w:name w:val="footer"/>
    <w:basedOn w:val="Normal"/>
    <w:link w:val="FooterChar"/>
    <w:uiPriority w:val="99"/>
    <w:unhideWhenUsed/>
    <w:rsid w:val="00F97F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F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F97F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FBA"/>
  </w:style>
  <w:style w:type="paragraph" w:styleId="Footer">
    <w:name w:val="footer"/>
    <w:basedOn w:val="Normal"/>
    <w:link w:val="FooterChar"/>
    <w:uiPriority w:val="99"/>
    <w:unhideWhenUsed/>
    <w:rsid w:val="00F97F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2632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2014-04-01T00:39:00Z</dcterms:created>
  <dcterms:modified xsi:type="dcterms:W3CDTF">2014-06-17T16:13:00Z</dcterms:modified>
</cp:coreProperties>
</file>