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A9ACA" w14:textId="77777777" w:rsidR="005A13E2" w:rsidRDefault="005A13E2" w:rsidP="005A13E2">
      <w:pPr>
        <w:spacing w:after="200"/>
        <w:jc w:val="both"/>
        <w:rPr>
          <w:b/>
          <w:sz w:val="26"/>
        </w:rPr>
      </w:pPr>
      <w:r>
        <w:rPr>
          <w:b/>
          <w:sz w:val="26"/>
          <w:u w:val="single"/>
        </w:rPr>
        <w:t>ANNOTATIONS</w:t>
      </w:r>
      <w:r>
        <w:rPr>
          <w:b/>
          <w:spacing w:val="-15"/>
          <w:sz w:val="26"/>
          <w:u w:val="single"/>
        </w:rPr>
        <w:t xml:space="preserve"> </w:t>
      </w:r>
      <w:r>
        <w:rPr>
          <w:b/>
          <w:sz w:val="26"/>
          <w:u w:val="single"/>
        </w:rPr>
        <w:t>AND</w:t>
      </w:r>
      <w:r>
        <w:rPr>
          <w:b/>
          <w:spacing w:val="-15"/>
          <w:sz w:val="26"/>
          <w:u w:val="single"/>
        </w:rPr>
        <w:t xml:space="preserve"> </w:t>
      </w:r>
      <w:r>
        <w:rPr>
          <w:b/>
          <w:spacing w:val="-2"/>
          <w:sz w:val="26"/>
          <w:u w:val="single"/>
        </w:rPr>
        <w:t>COMMENTS</w:t>
      </w:r>
    </w:p>
    <w:p w14:paraId="04EB8BA0" w14:textId="1B5427E1" w:rsidR="005A13E2" w:rsidRPr="005A13E2" w:rsidRDefault="005A13E2" w:rsidP="005A13E2">
      <w:pPr>
        <w:spacing w:after="200"/>
        <w:jc w:val="both"/>
        <w:rPr>
          <w:b/>
          <w:sz w:val="26"/>
        </w:rPr>
      </w:pPr>
      <w:r>
        <w:rPr>
          <w:sz w:val="26"/>
        </w:rPr>
        <w:t>18</w:t>
      </w:r>
      <w:r>
        <w:rPr>
          <w:spacing w:val="-6"/>
          <w:sz w:val="26"/>
        </w:rPr>
        <w:t xml:space="preserve"> </w:t>
      </w:r>
      <w:r>
        <w:rPr>
          <w:sz w:val="26"/>
        </w:rPr>
        <w:t>U.S.C.</w:t>
      </w:r>
      <w:r>
        <w:rPr>
          <w:spacing w:val="-2"/>
          <w:sz w:val="26"/>
        </w:rPr>
        <w:t xml:space="preserve"> </w:t>
      </w:r>
      <w:r>
        <w:rPr>
          <w:sz w:val="26"/>
        </w:rPr>
        <w:t>§</w:t>
      </w:r>
      <w:r>
        <w:rPr>
          <w:spacing w:val="-5"/>
          <w:sz w:val="26"/>
        </w:rPr>
        <w:t xml:space="preserve"> </w:t>
      </w:r>
      <w:r>
        <w:rPr>
          <w:sz w:val="26"/>
        </w:rPr>
        <w:t>1962(c)</w:t>
      </w:r>
      <w:r>
        <w:rPr>
          <w:spacing w:val="-5"/>
          <w:sz w:val="26"/>
        </w:rPr>
        <w:t xml:space="preserve"> </w:t>
      </w:r>
      <w:r>
        <w:rPr>
          <w:spacing w:val="-2"/>
          <w:sz w:val="26"/>
        </w:rPr>
        <w:t>provides:</w:t>
      </w:r>
    </w:p>
    <w:p w14:paraId="5E6C5BDE" w14:textId="20EB68A4" w:rsidR="005A13E2" w:rsidRDefault="005A13E2" w:rsidP="003642ED">
      <w:pPr>
        <w:spacing w:after="200"/>
        <w:ind w:left="720" w:right="720"/>
        <w:jc w:val="both"/>
        <w:rPr>
          <w:sz w:val="26"/>
        </w:rPr>
      </w:pPr>
      <w:r>
        <w:rPr>
          <w:sz w:val="26"/>
        </w:rPr>
        <w:t>It shall be unlawful for any person employed by or associated with any enterprise engaged in, or the activities of which affect, interstate or foreign commerce, to conduct or participate, directly or indirectly, in the conduct of such enterprise’s affairs through a pattern of racketeering activity . . . .</w:t>
      </w:r>
    </w:p>
    <w:p w14:paraId="5F28D172" w14:textId="3D4497CF" w:rsidR="005A13E2" w:rsidRPr="005A13E2" w:rsidRDefault="005A13E2" w:rsidP="003642ED">
      <w:pPr>
        <w:spacing w:after="200"/>
        <w:jc w:val="both"/>
        <w:rPr>
          <w:sz w:val="26"/>
        </w:rPr>
      </w:pPr>
      <w:r>
        <w:rPr>
          <w:sz w:val="26"/>
        </w:rPr>
        <w:t xml:space="preserve">In </w:t>
      </w:r>
      <w:r>
        <w:rPr>
          <w:i/>
          <w:sz w:val="26"/>
        </w:rPr>
        <w:t xml:space="preserve">United States v. </w:t>
      </w:r>
      <w:proofErr w:type="spellStart"/>
      <w:r>
        <w:rPr>
          <w:i/>
          <w:sz w:val="26"/>
        </w:rPr>
        <w:t>Kotvas</w:t>
      </w:r>
      <w:proofErr w:type="spellEnd"/>
      <w:r>
        <w:rPr>
          <w:sz w:val="26"/>
        </w:rPr>
        <w:t xml:space="preserve">, 941 F.2d 1141, 1144 (11th Cir. 1991), the Eleventh Circuit held that this pattern instruction properly instructed the jury on the continuity requirement discussed by the United States Supreme Court in </w:t>
      </w:r>
      <w:r>
        <w:rPr>
          <w:i/>
          <w:sz w:val="26"/>
        </w:rPr>
        <w:t>H.J. Inc. v. Northwestern Bell Telephone</w:t>
      </w:r>
      <w:r>
        <w:rPr>
          <w:i/>
          <w:spacing w:val="-1"/>
          <w:sz w:val="26"/>
        </w:rPr>
        <w:t xml:space="preserve"> </w:t>
      </w:r>
      <w:r>
        <w:rPr>
          <w:i/>
          <w:sz w:val="26"/>
        </w:rPr>
        <w:t>Co.</w:t>
      </w:r>
      <w:r>
        <w:rPr>
          <w:sz w:val="26"/>
        </w:rPr>
        <w:t>,</w:t>
      </w:r>
      <w:r>
        <w:rPr>
          <w:spacing w:val="-1"/>
          <w:sz w:val="26"/>
        </w:rPr>
        <w:t xml:space="preserve"> </w:t>
      </w:r>
      <w:r>
        <w:rPr>
          <w:sz w:val="26"/>
        </w:rPr>
        <w:t>492</w:t>
      </w:r>
      <w:r>
        <w:rPr>
          <w:spacing w:val="-1"/>
          <w:sz w:val="26"/>
        </w:rPr>
        <w:t xml:space="preserve"> </w:t>
      </w:r>
      <w:r>
        <w:rPr>
          <w:sz w:val="26"/>
        </w:rPr>
        <w:t>U.S.</w:t>
      </w:r>
      <w:r>
        <w:rPr>
          <w:spacing w:val="-4"/>
          <w:sz w:val="26"/>
        </w:rPr>
        <w:t xml:space="preserve"> </w:t>
      </w:r>
      <w:r>
        <w:rPr>
          <w:sz w:val="26"/>
        </w:rPr>
        <w:t>229, 241–50</w:t>
      </w:r>
      <w:r>
        <w:rPr>
          <w:spacing w:val="-1"/>
          <w:sz w:val="26"/>
        </w:rPr>
        <w:t xml:space="preserve"> </w:t>
      </w:r>
      <w:r>
        <w:rPr>
          <w:sz w:val="26"/>
        </w:rPr>
        <w:t>(1989).</w:t>
      </w:r>
      <w:r>
        <w:rPr>
          <w:spacing w:val="-4"/>
          <w:sz w:val="26"/>
        </w:rPr>
        <w:t xml:space="preserve"> </w:t>
      </w:r>
      <w:r>
        <w:rPr>
          <w:sz w:val="26"/>
        </w:rPr>
        <w:t>In</w:t>
      </w:r>
      <w:r>
        <w:rPr>
          <w:spacing w:val="-1"/>
          <w:sz w:val="26"/>
        </w:rPr>
        <w:t xml:space="preserve"> </w:t>
      </w:r>
      <w:r>
        <w:rPr>
          <w:i/>
          <w:sz w:val="26"/>
        </w:rPr>
        <w:t>United</w:t>
      </w:r>
      <w:r>
        <w:rPr>
          <w:i/>
          <w:spacing w:val="-4"/>
          <w:sz w:val="26"/>
        </w:rPr>
        <w:t xml:space="preserve"> </w:t>
      </w:r>
      <w:r>
        <w:rPr>
          <w:i/>
          <w:sz w:val="26"/>
        </w:rPr>
        <w:t>States</w:t>
      </w:r>
      <w:r>
        <w:rPr>
          <w:i/>
          <w:spacing w:val="-1"/>
          <w:sz w:val="26"/>
        </w:rPr>
        <w:t xml:space="preserve"> </w:t>
      </w:r>
      <w:r>
        <w:rPr>
          <w:i/>
          <w:sz w:val="26"/>
        </w:rPr>
        <w:t>v.</w:t>
      </w:r>
      <w:r>
        <w:rPr>
          <w:i/>
          <w:spacing w:val="-1"/>
          <w:sz w:val="26"/>
        </w:rPr>
        <w:t xml:space="preserve"> </w:t>
      </w:r>
      <w:r>
        <w:rPr>
          <w:i/>
          <w:sz w:val="26"/>
        </w:rPr>
        <w:t>Browne</w:t>
      </w:r>
      <w:r>
        <w:rPr>
          <w:sz w:val="26"/>
        </w:rPr>
        <w:t>,</w:t>
      </w:r>
      <w:r>
        <w:rPr>
          <w:spacing w:val="-4"/>
          <w:sz w:val="26"/>
        </w:rPr>
        <w:t xml:space="preserve"> </w:t>
      </w:r>
      <w:r>
        <w:rPr>
          <w:sz w:val="26"/>
        </w:rPr>
        <w:t>505</w:t>
      </w:r>
      <w:r>
        <w:rPr>
          <w:spacing w:val="-4"/>
          <w:sz w:val="26"/>
        </w:rPr>
        <w:t xml:space="preserve"> </w:t>
      </w:r>
      <w:r>
        <w:rPr>
          <w:sz w:val="26"/>
        </w:rPr>
        <w:t>F.3d</w:t>
      </w:r>
      <w:r>
        <w:rPr>
          <w:spacing w:val="-1"/>
          <w:sz w:val="26"/>
        </w:rPr>
        <w:t xml:space="preserve"> </w:t>
      </w:r>
      <w:r>
        <w:rPr>
          <w:sz w:val="26"/>
        </w:rPr>
        <w:t>1229, 1260</w:t>
      </w:r>
      <w:r>
        <w:rPr>
          <w:spacing w:val="-1"/>
          <w:sz w:val="26"/>
        </w:rPr>
        <w:t xml:space="preserve"> </w:t>
      </w:r>
      <w:r>
        <w:rPr>
          <w:sz w:val="26"/>
        </w:rPr>
        <w:t>(11th</w:t>
      </w:r>
      <w:r>
        <w:rPr>
          <w:spacing w:val="-3"/>
          <w:sz w:val="26"/>
        </w:rPr>
        <w:t xml:space="preserve"> </w:t>
      </w:r>
      <w:r>
        <w:rPr>
          <w:sz w:val="26"/>
        </w:rPr>
        <w:t>Cir. 2007), the Eleventh Circuit reaffirmed this holding.</w:t>
      </w:r>
    </w:p>
    <w:p w14:paraId="30562970" w14:textId="0B80BBD8" w:rsidR="005A13E2" w:rsidRDefault="005A13E2" w:rsidP="003642ED">
      <w:pPr>
        <w:spacing w:after="200"/>
        <w:jc w:val="both"/>
        <w:rPr>
          <w:sz w:val="26"/>
        </w:rPr>
      </w:pPr>
      <w:r>
        <w:rPr>
          <w:sz w:val="26"/>
        </w:rPr>
        <w:t xml:space="preserve">In </w:t>
      </w:r>
      <w:r>
        <w:rPr>
          <w:i/>
          <w:sz w:val="26"/>
        </w:rPr>
        <w:t>Reves v. Ernst &amp; Young</w:t>
      </w:r>
      <w:r>
        <w:rPr>
          <w:sz w:val="26"/>
        </w:rPr>
        <w:t xml:space="preserve">, 507 U.S. 170, 185 (1993), the Supreme Court held that a Defendant participates in the conduct of an enterprise’s affairs by participating in the “operation or management” of the enterprise. The Eleventh Circuit has held that </w:t>
      </w:r>
      <w:r>
        <w:rPr>
          <w:i/>
          <w:sz w:val="26"/>
        </w:rPr>
        <w:t>Reves</w:t>
      </w:r>
      <w:r>
        <w:rPr>
          <w:sz w:val="26"/>
        </w:rPr>
        <w:t xml:space="preserve">, a civil RICO action, applies to criminal proceedings as well. </w:t>
      </w:r>
      <w:r>
        <w:rPr>
          <w:i/>
          <w:sz w:val="26"/>
        </w:rPr>
        <w:t>See United States v. Starrett</w:t>
      </w:r>
      <w:r>
        <w:rPr>
          <w:sz w:val="26"/>
        </w:rPr>
        <w:t xml:space="preserve">, 55 F.3d 1525, 1551–52 (11th Cir. 1995). </w:t>
      </w:r>
      <w:r>
        <w:rPr>
          <w:i/>
          <w:sz w:val="26"/>
        </w:rPr>
        <w:t xml:space="preserve">Starrett </w:t>
      </w:r>
      <w:r>
        <w:rPr>
          <w:sz w:val="26"/>
        </w:rPr>
        <w:t xml:space="preserve">nevertheless upheld the district court’s refusal to give a proposed instruction that the Defendant must have occupied a “leadership” position in the enterprise. </w:t>
      </w:r>
      <w:r>
        <w:rPr>
          <w:i/>
          <w:iCs/>
          <w:sz w:val="26"/>
        </w:rPr>
        <w:t>Id.</w:t>
      </w:r>
      <w:r>
        <w:rPr>
          <w:sz w:val="26"/>
        </w:rPr>
        <w:t xml:space="preserve"> at 1551.</w:t>
      </w:r>
    </w:p>
    <w:p w14:paraId="02CD8CDB" w14:textId="64B2F734" w:rsidR="005A13E2" w:rsidRPr="005A13E2" w:rsidRDefault="005A13E2" w:rsidP="003642ED">
      <w:pPr>
        <w:spacing w:after="200"/>
        <w:jc w:val="both"/>
        <w:rPr>
          <w:sz w:val="26"/>
        </w:rPr>
      </w:pPr>
      <w:r>
        <w:rPr>
          <w:sz w:val="26"/>
        </w:rPr>
        <w:t xml:space="preserve">In </w:t>
      </w:r>
      <w:r>
        <w:rPr>
          <w:i/>
          <w:sz w:val="26"/>
        </w:rPr>
        <w:t>Boyle v. United States</w:t>
      </w:r>
      <w:r>
        <w:rPr>
          <w:sz w:val="26"/>
        </w:rPr>
        <w:t xml:space="preserve">, 556 U.S. 938 (2009), the Supreme Court held that an association-in-fact enterprise under RICO, 18 U.S.C. § 1961, </w:t>
      </w:r>
      <w:r>
        <w:rPr>
          <w:i/>
          <w:sz w:val="26"/>
        </w:rPr>
        <w:t>et seq.</w:t>
      </w:r>
      <w:r>
        <w:rPr>
          <w:sz w:val="26"/>
        </w:rPr>
        <w:t>, “must have at least three</w:t>
      </w:r>
      <w:r>
        <w:rPr>
          <w:spacing w:val="48"/>
          <w:w w:val="150"/>
          <w:sz w:val="26"/>
        </w:rPr>
        <w:t xml:space="preserve"> </w:t>
      </w:r>
      <w:r>
        <w:rPr>
          <w:sz w:val="26"/>
        </w:rPr>
        <w:t>structural</w:t>
      </w:r>
      <w:r>
        <w:rPr>
          <w:spacing w:val="48"/>
          <w:w w:val="150"/>
          <w:sz w:val="26"/>
        </w:rPr>
        <w:t xml:space="preserve"> </w:t>
      </w:r>
      <w:r>
        <w:rPr>
          <w:sz w:val="26"/>
        </w:rPr>
        <w:t>features:</w:t>
      </w:r>
      <w:r>
        <w:rPr>
          <w:spacing w:val="48"/>
          <w:w w:val="150"/>
          <w:sz w:val="26"/>
        </w:rPr>
        <w:t xml:space="preserve"> </w:t>
      </w:r>
      <w:r>
        <w:rPr>
          <w:sz w:val="26"/>
        </w:rPr>
        <w:t>a</w:t>
      </w:r>
      <w:r>
        <w:rPr>
          <w:spacing w:val="48"/>
          <w:w w:val="150"/>
          <w:sz w:val="26"/>
        </w:rPr>
        <w:t xml:space="preserve"> </w:t>
      </w:r>
      <w:r>
        <w:rPr>
          <w:sz w:val="26"/>
        </w:rPr>
        <w:t>purpose,</w:t>
      </w:r>
      <w:r>
        <w:rPr>
          <w:spacing w:val="48"/>
          <w:w w:val="150"/>
          <w:sz w:val="26"/>
        </w:rPr>
        <w:t xml:space="preserve"> </w:t>
      </w:r>
      <w:r>
        <w:rPr>
          <w:sz w:val="26"/>
        </w:rPr>
        <w:t>relationships</w:t>
      </w:r>
      <w:r>
        <w:rPr>
          <w:spacing w:val="48"/>
          <w:w w:val="150"/>
          <w:sz w:val="26"/>
        </w:rPr>
        <w:t xml:space="preserve"> </w:t>
      </w:r>
      <w:r>
        <w:rPr>
          <w:sz w:val="26"/>
        </w:rPr>
        <w:t>among</w:t>
      </w:r>
      <w:r>
        <w:rPr>
          <w:spacing w:val="48"/>
          <w:w w:val="150"/>
          <w:sz w:val="26"/>
        </w:rPr>
        <w:t xml:space="preserve"> </w:t>
      </w:r>
      <w:r>
        <w:rPr>
          <w:sz w:val="26"/>
        </w:rPr>
        <w:t>those</w:t>
      </w:r>
      <w:r>
        <w:rPr>
          <w:spacing w:val="48"/>
          <w:w w:val="150"/>
          <w:sz w:val="26"/>
        </w:rPr>
        <w:t xml:space="preserve"> </w:t>
      </w:r>
      <w:r>
        <w:rPr>
          <w:sz w:val="26"/>
        </w:rPr>
        <w:t>associated</w:t>
      </w:r>
      <w:r>
        <w:rPr>
          <w:spacing w:val="48"/>
          <w:w w:val="150"/>
          <w:sz w:val="26"/>
        </w:rPr>
        <w:t xml:space="preserve"> </w:t>
      </w:r>
      <w:r>
        <w:rPr>
          <w:sz w:val="26"/>
        </w:rPr>
        <w:t>with</w:t>
      </w:r>
      <w:r>
        <w:rPr>
          <w:spacing w:val="48"/>
          <w:w w:val="150"/>
          <w:sz w:val="26"/>
        </w:rPr>
        <w:t xml:space="preserve"> </w:t>
      </w:r>
      <w:r>
        <w:rPr>
          <w:spacing w:val="-5"/>
          <w:sz w:val="26"/>
        </w:rPr>
        <w:t>the</w:t>
      </w:r>
      <w:r>
        <w:rPr>
          <w:sz w:val="26"/>
        </w:rPr>
        <w:t xml:space="preserve"> enterprise, and longevity sufficient to permit these associates to pursue the enterprise’s purpose” but the enterprise “need not have a hierarchical structure or a ‘chain of command.’” </w:t>
      </w:r>
      <w:r>
        <w:rPr>
          <w:i/>
          <w:sz w:val="26"/>
        </w:rPr>
        <w:t>Id</w:t>
      </w:r>
      <w:r w:rsidRPr="00972E6B">
        <w:rPr>
          <w:i/>
          <w:iCs/>
          <w:sz w:val="26"/>
        </w:rPr>
        <w:t>.</w:t>
      </w:r>
      <w:r>
        <w:rPr>
          <w:sz w:val="26"/>
        </w:rPr>
        <w:t xml:space="preserve"> at 946, 948. The </w:t>
      </w:r>
      <w:r>
        <w:rPr>
          <w:i/>
          <w:sz w:val="26"/>
        </w:rPr>
        <w:t xml:space="preserve">Boyle </w:t>
      </w:r>
      <w:r>
        <w:rPr>
          <w:sz w:val="26"/>
        </w:rPr>
        <w:t xml:space="preserve">Court reiterated that an association-in-fact enterprise under RICO is a “group of persons associated together for a common purpose of engaging in a course of conduct.” </w:t>
      </w:r>
      <w:r>
        <w:rPr>
          <w:i/>
          <w:sz w:val="26"/>
        </w:rPr>
        <w:t>Id</w:t>
      </w:r>
      <w:r w:rsidRPr="00972E6B">
        <w:rPr>
          <w:i/>
          <w:iCs/>
          <w:sz w:val="26"/>
        </w:rPr>
        <w:t>.</w:t>
      </w:r>
      <w:r>
        <w:rPr>
          <w:sz w:val="26"/>
        </w:rPr>
        <w:t xml:space="preserve"> at 946 (quoting </w:t>
      </w:r>
      <w:r>
        <w:rPr>
          <w:i/>
          <w:sz w:val="26"/>
        </w:rPr>
        <w:t xml:space="preserve">United States v. </w:t>
      </w:r>
      <w:proofErr w:type="spellStart"/>
      <w:r>
        <w:rPr>
          <w:i/>
          <w:sz w:val="26"/>
        </w:rPr>
        <w:t>Turkette</w:t>
      </w:r>
      <w:proofErr w:type="spellEnd"/>
      <w:r>
        <w:rPr>
          <w:sz w:val="26"/>
        </w:rPr>
        <w:t>, 452 U.S. 576, 583 (1981)).</w:t>
      </w:r>
    </w:p>
    <w:p w14:paraId="23E66A04" w14:textId="40C26666" w:rsidR="005A13E2" w:rsidRPr="005A13E2" w:rsidRDefault="005A13E2" w:rsidP="003642ED">
      <w:pPr>
        <w:spacing w:after="200"/>
        <w:jc w:val="both"/>
        <w:rPr>
          <w:sz w:val="26"/>
        </w:rPr>
      </w:pPr>
      <w:r>
        <w:rPr>
          <w:spacing w:val="-2"/>
          <w:sz w:val="26"/>
        </w:rPr>
        <w:t>If</w:t>
      </w:r>
      <w:r>
        <w:rPr>
          <w:spacing w:val="-10"/>
          <w:sz w:val="26"/>
        </w:rPr>
        <w:t xml:space="preserve"> </w:t>
      </w:r>
      <w:r>
        <w:rPr>
          <w:spacing w:val="-2"/>
          <w:sz w:val="26"/>
        </w:rPr>
        <w:t>the</w:t>
      </w:r>
      <w:r>
        <w:rPr>
          <w:spacing w:val="-9"/>
          <w:sz w:val="26"/>
        </w:rPr>
        <w:t xml:space="preserve"> </w:t>
      </w:r>
      <w:r>
        <w:rPr>
          <w:spacing w:val="-2"/>
          <w:sz w:val="26"/>
        </w:rPr>
        <w:t>indictment</w:t>
      </w:r>
      <w:r>
        <w:rPr>
          <w:spacing w:val="-10"/>
          <w:sz w:val="26"/>
        </w:rPr>
        <w:t xml:space="preserve"> </w:t>
      </w:r>
      <w:r>
        <w:rPr>
          <w:spacing w:val="-2"/>
          <w:sz w:val="26"/>
        </w:rPr>
        <w:t>seeks</w:t>
      </w:r>
      <w:r>
        <w:rPr>
          <w:spacing w:val="-7"/>
          <w:sz w:val="26"/>
        </w:rPr>
        <w:t xml:space="preserve"> </w:t>
      </w:r>
      <w:r>
        <w:rPr>
          <w:spacing w:val="-2"/>
          <w:sz w:val="26"/>
        </w:rPr>
        <w:t>a</w:t>
      </w:r>
      <w:r>
        <w:rPr>
          <w:spacing w:val="-10"/>
          <w:sz w:val="26"/>
        </w:rPr>
        <w:t xml:space="preserve"> </w:t>
      </w:r>
      <w:r>
        <w:rPr>
          <w:spacing w:val="-2"/>
          <w:sz w:val="26"/>
        </w:rPr>
        <w:t>forfeiture</w:t>
      </w:r>
      <w:r>
        <w:rPr>
          <w:spacing w:val="-7"/>
          <w:sz w:val="26"/>
        </w:rPr>
        <w:t xml:space="preserve"> </w:t>
      </w:r>
      <w:r>
        <w:rPr>
          <w:spacing w:val="-2"/>
          <w:sz w:val="26"/>
        </w:rPr>
        <w:t>of</w:t>
      </w:r>
      <w:r>
        <w:rPr>
          <w:spacing w:val="-8"/>
          <w:sz w:val="26"/>
        </w:rPr>
        <w:t xml:space="preserve"> </w:t>
      </w:r>
      <w:r>
        <w:rPr>
          <w:spacing w:val="-2"/>
          <w:sz w:val="26"/>
        </w:rPr>
        <w:t>property</w:t>
      </w:r>
      <w:r>
        <w:rPr>
          <w:spacing w:val="-8"/>
          <w:sz w:val="26"/>
        </w:rPr>
        <w:t xml:space="preserve"> </w:t>
      </w:r>
      <w:r>
        <w:rPr>
          <w:spacing w:val="-2"/>
          <w:sz w:val="26"/>
        </w:rPr>
        <w:t>under</w:t>
      </w:r>
      <w:r>
        <w:rPr>
          <w:spacing w:val="-9"/>
          <w:sz w:val="26"/>
        </w:rPr>
        <w:t xml:space="preserve"> </w:t>
      </w:r>
      <w:r>
        <w:rPr>
          <w:spacing w:val="-2"/>
          <w:sz w:val="26"/>
        </w:rPr>
        <w:t>§</w:t>
      </w:r>
      <w:r>
        <w:rPr>
          <w:spacing w:val="-8"/>
          <w:sz w:val="26"/>
        </w:rPr>
        <w:t xml:space="preserve"> </w:t>
      </w:r>
      <w:r>
        <w:rPr>
          <w:spacing w:val="-2"/>
          <w:sz w:val="26"/>
        </w:rPr>
        <w:t>1963(a),</w:t>
      </w:r>
      <w:r>
        <w:rPr>
          <w:spacing w:val="-9"/>
          <w:sz w:val="26"/>
        </w:rPr>
        <w:t xml:space="preserve"> </w:t>
      </w:r>
      <w:r>
        <w:rPr>
          <w:spacing w:val="-2"/>
          <w:sz w:val="26"/>
        </w:rPr>
        <w:t>see</w:t>
      </w:r>
      <w:r>
        <w:rPr>
          <w:spacing w:val="-8"/>
          <w:sz w:val="26"/>
        </w:rPr>
        <w:t xml:space="preserve"> </w:t>
      </w:r>
      <w:r>
        <w:rPr>
          <w:spacing w:val="-2"/>
          <w:sz w:val="26"/>
        </w:rPr>
        <w:t>Trial</w:t>
      </w:r>
      <w:r>
        <w:rPr>
          <w:spacing w:val="-7"/>
          <w:sz w:val="26"/>
        </w:rPr>
        <w:t xml:space="preserve"> </w:t>
      </w:r>
      <w:r>
        <w:rPr>
          <w:spacing w:val="-2"/>
          <w:sz w:val="26"/>
        </w:rPr>
        <w:t>Instruction</w:t>
      </w:r>
      <w:r>
        <w:rPr>
          <w:spacing w:val="-8"/>
          <w:sz w:val="26"/>
        </w:rPr>
        <w:t xml:space="preserve"> </w:t>
      </w:r>
      <w:r>
        <w:rPr>
          <w:spacing w:val="-2"/>
          <w:sz w:val="26"/>
        </w:rPr>
        <w:t>No.</w:t>
      </w:r>
      <w:r>
        <w:rPr>
          <w:spacing w:val="-8"/>
          <w:sz w:val="26"/>
        </w:rPr>
        <w:t xml:space="preserve"> </w:t>
      </w:r>
      <w:r>
        <w:rPr>
          <w:spacing w:val="-10"/>
          <w:sz w:val="26"/>
        </w:rPr>
        <w:t>6.</w:t>
      </w:r>
    </w:p>
    <w:p w14:paraId="3257FD28" w14:textId="3D4169FE" w:rsidR="005764C5" w:rsidRDefault="005A13E2" w:rsidP="003642ED">
      <w:pPr>
        <w:spacing w:after="200"/>
        <w:jc w:val="both"/>
      </w:pPr>
      <w:proofErr w:type="gramStart"/>
      <w:r>
        <w:rPr>
          <w:sz w:val="26"/>
        </w:rPr>
        <w:t>With regard to</w:t>
      </w:r>
      <w:proofErr w:type="gramEnd"/>
      <w:r>
        <w:rPr>
          <w:sz w:val="26"/>
        </w:rPr>
        <w:t xml:space="preserve"> the second element, “RICO does not contain any separate </w:t>
      </w:r>
      <w:proofErr w:type="spellStart"/>
      <w:r>
        <w:rPr>
          <w:sz w:val="26"/>
        </w:rPr>
        <w:t>mens</w:t>
      </w:r>
      <w:proofErr w:type="spellEnd"/>
      <w:r>
        <w:rPr>
          <w:sz w:val="26"/>
        </w:rPr>
        <w:t xml:space="preserve"> rea or scienter elements beyond those encompassed in its predicate acts.” </w:t>
      </w:r>
      <w:r>
        <w:rPr>
          <w:i/>
          <w:sz w:val="26"/>
        </w:rPr>
        <w:t>United States v. Pepe</w:t>
      </w:r>
      <w:r>
        <w:rPr>
          <w:sz w:val="26"/>
        </w:rPr>
        <w:t>, 747 F.2d 632, 675–76 (11th Cir. 1984). Thus, in the second essential element, the jury instruction should conform to the mental state required by the predicate act(s).</w:t>
      </w:r>
    </w:p>
    <w:sectPr w:rsidR="005764C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80B85" w14:textId="77777777" w:rsidR="007703E9" w:rsidRDefault="007703E9" w:rsidP="007703E9">
      <w:r>
        <w:separator/>
      </w:r>
    </w:p>
  </w:endnote>
  <w:endnote w:type="continuationSeparator" w:id="0">
    <w:p w14:paraId="7EC62378" w14:textId="77777777" w:rsidR="007703E9" w:rsidRDefault="007703E9" w:rsidP="0077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5733" w14:textId="77777777" w:rsidR="007703E9" w:rsidRDefault="007703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15F0" w14:textId="32628D6F" w:rsidR="007703E9" w:rsidRDefault="007703E9">
    <w:pPr>
      <w:pStyle w:val="BodyText"/>
      <w:spacing w:line="14" w:lineRule="auto"/>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7765" w14:textId="77777777" w:rsidR="007703E9" w:rsidRDefault="00770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4F3C5" w14:textId="77777777" w:rsidR="007703E9" w:rsidRDefault="007703E9" w:rsidP="007703E9">
      <w:r>
        <w:separator/>
      </w:r>
    </w:p>
  </w:footnote>
  <w:footnote w:type="continuationSeparator" w:id="0">
    <w:p w14:paraId="16637043" w14:textId="77777777" w:rsidR="007703E9" w:rsidRDefault="007703E9" w:rsidP="00770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3A74" w14:textId="77777777" w:rsidR="007703E9" w:rsidRDefault="007703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81E4" w14:textId="77777777" w:rsidR="007703E9" w:rsidRDefault="007703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DEC3" w14:textId="77777777" w:rsidR="007703E9" w:rsidRDefault="007703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3E2"/>
    <w:rsid w:val="001829C6"/>
    <w:rsid w:val="001A558C"/>
    <w:rsid w:val="002D6EE8"/>
    <w:rsid w:val="003642ED"/>
    <w:rsid w:val="005764C5"/>
    <w:rsid w:val="005A13E2"/>
    <w:rsid w:val="006C30AA"/>
    <w:rsid w:val="0075262D"/>
    <w:rsid w:val="007703E9"/>
    <w:rsid w:val="007B42AB"/>
    <w:rsid w:val="008361C4"/>
    <w:rsid w:val="0098552E"/>
    <w:rsid w:val="00EA0C95"/>
    <w:rsid w:val="00F85D53"/>
    <w:rsid w:val="00FF1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D730F4"/>
  <w15:chartTrackingRefBased/>
  <w15:docId w15:val="{31F3EFD4-63D9-4155-A8F9-150AEDF2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3E2"/>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5A13E2"/>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A13E2"/>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A13E2"/>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A13E2"/>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A13E2"/>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A13E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A13E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A13E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A13E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3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13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13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13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13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13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3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3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3E2"/>
    <w:rPr>
      <w:rFonts w:eastAsiaTheme="majorEastAsia" w:cstheme="majorBidi"/>
      <w:color w:val="272727" w:themeColor="text1" w:themeTint="D8"/>
    </w:rPr>
  </w:style>
  <w:style w:type="paragraph" w:styleId="Title">
    <w:name w:val="Title"/>
    <w:basedOn w:val="Normal"/>
    <w:next w:val="Normal"/>
    <w:link w:val="TitleChar"/>
    <w:uiPriority w:val="10"/>
    <w:qFormat/>
    <w:rsid w:val="005A13E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A13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3E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A13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3E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A13E2"/>
    <w:rPr>
      <w:i/>
      <w:iCs/>
      <w:color w:val="404040" w:themeColor="text1" w:themeTint="BF"/>
    </w:rPr>
  </w:style>
  <w:style w:type="paragraph" w:styleId="ListParagraph">
    <w:name w:val="List Paragraph"/>
    <w:basedOn w:val="Normal"/>
    <w:uiPriority w:val="34"/>
    <w:qFormat/>
    <w:rsid w:val="005A13E2"/>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A13E2"/>
    <w:rPr>
      <w:i/>
      <w:iCs/>
      <w:color w:val="0F4761" w:themeColor="accent1" w:themeShade="BF"/>
    </w:rPr>
  </w:style>
  <w:style w:type="paragraph" w:styleId="IntenseQuote">
    <w:name w:val="Intense Quote"/>
    <w:basedOn w:val="Normal"/>
    <w:next w:val="Normal"/>
    <w:link w:val="IntenseQuoteChar"/>
    <w:uiPriority w:val="30"/>
    <w:qFormat/>
    <w:rsid w:val="005A13E2"/>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A13E2"/>
    <w:rPr>
      <w:i/>
      <w:iCs/>
      <w:color w:val="0F4761" w:themeColor="accent1" w:themeShade="BF"/>
    </w:rPr>
  </w:style>
  <w:style w:type="character" w:styleId="IntenseReference">
    <w:name w:val="Intense Reference"/>
    <w:basedOn w:val="DefaultParagraphFont"/>
    <w:uiPriority w:val="32"/>
    <w:qFormat/>
    <w:rsid w:val="005A13E2"/>
    <w:rPr>
      <w:b/>
      <w:bCs/>
      <w:smallCaps/>
      <w:color w:val="0F4761" w:themeColor="accent1" w:themeShade="BF"/>
      <w:spacing w:val="5"/>
    </w:rPr>
  </w:style>
  <w:style w:type="paragraph" w:styleId="BodyText">
    <w:name w:val="Body Text"/>
    <w:basedOn w:val="Normal"/>
    <w:link w:val="BodyTextChar"/>
    <w:uiPriority w:val="1"/>
    <w:qFormat/>
    <w:rsid w:val="005A13E2"/>
    <w:pPr>
      <w:jc w:val="both"/>
    </w:pPr>
    <w:rPr>
      <w:sz w:val="28"/>
      <w:szCs w:val="28"/>
    </w:rPr>
  </w:style>
  <w:style w:type="character" w:customStyle="1" w:styleId="BodyTextChar">
    <w:name w:val="Body Text Char"/>
    <w:basedOn w:val="DefaultParagraphFont"/>
    <w:link w:val="BodyText"/>
    <w:uiPriority w:val="1"/>
    <w:rsid w:val="005A13E2"/>
    <w:rPr>
      <w:rFonts w:ascii="Times New Roman" w:eastAsia="Times New Roman" w:hAnsi="Times New Roman" w:cs="Times New Roman"/>
      <w:kern w:val="0"/>
      <w:sz w:val="28"/>
      <w:szCs w:val="28"/>
      <w14:ligatures w14:val="none"/>
    </w:rPr>
  </w:style>
  <w:style w:type="paragraph" w:styleId="Header">
    <w:name w:val="header"/>
    <w:basedOn w:val="Normal"/>
    <w:link w:val="HeaderChar"/>
    <w:uiPriority w:val="99"/>
    <w:unhideWhenUsed/>
    <w:rsid w:val="007703E9"/>
    <w:pPr>
      <w:tabs>
        <w:tab w:val="center" w:pos="4680"/>
        <w:tab w:val="right" w:pos="9360"/>
      </w:tabs>
    </w:pPr>
  </w:style>
  <w:style w:type="character" w:customStyle="1" w:styleId="HeaderChar">
    <w:name w:val="Header Char"/>
    <w:basedOn w:val="DefaultParagraphFont"/>
    <w:link w:val="Header"/>
    <w:uiPriority w:val="99"/>
    <w:rsid w:val="007703E9"/>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7703E9"/>
    <w:pPr>
      <w:tabs>
        <w:tab w:val="center" w:pos="4680"/>
        <w:tab w:val="right" w:pos="9360"/>
      </w:tabs>
    </w:pPr>
  </w:style>
  <w:style w:type="character" w:customStyle="1" w:styleId="FooterChar">
    <w:name w:val="Footer Char"/>
    <w:basedOn w:val="DefaultParagraphFont"/>
    <w:link w:val="Footer"/>
    <w:uiPriority w:val="99"/>
    <w:rsid w:val="007703E9"/>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3</cp:revision>
  <dcterms:created xsi:type="dcterms:W3CDTF">2025-08-06T17:04:00Z</dcterms:created>
  <dcterms:modified xsi:type="dcterms:W3CDTF">2025-08-06T17:34:00Z</dcterms:modified>
</cp:coreProperties>
</file>