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C4346" w14:textId="77777777" w:rsidR="0089105C" w:rsidRDefault="0089105C" w:rsidP="00B74C62">
      <w:pPr>
        <w:spacing w:after="200"/>
        <w:jc w:val="both"/>
        <w:rPr>
          <w:b/>
          <w:sz w:val="26"/>
        </w:rPr>
      </w:pPr>
      <w:r>
        <w:rPr>
          <w:b/>
          <w:sz w:val="26"/>
          <w:u w:val="single"/>
        </w:rPr>
        <w:t>ANNOTATIONS</w:t>
      </w:r>
      <w:r>
        <w:rPr>
          <w:b/>
          <w:spacing w:val="-15"/>
          <w:sz w:val="26"/>
          <w:u w:val="single"/>
        </w:rPr>
        <w:t xml:space="preserve"> </w:t>
      </w:r>
      <w:r>
        <w:rPr>
          <w:b/>
          <w:sz w:val="26"/>
          <w:u w:val="single"/>
        </w:rPr>
        <w:t>AND</w:t>
      </w:r>
      <w:r>
        <w:rPr>
          <w:b/>
          <w:spacing w:val="-15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COMMENTS</w:t>
      </w:r>
    </w:p>
    <w:p w14:paraId="496DC798" w14:textId="77777777" w:rsidR="0089105C" w:rsidRDefault="0089105C" w:rsidP="00B74C62">
      <w:pPr>
        <w:spacing w:after="200"/>
        <w:jc w:val="both"/>
        <w:rPr>
          <w:sz w:val="26"/>
        </w:rPr>
      </w:pPr>
      <w:r>
        <w:rPr>
          <w:sz w:val="26"/>
        </w:rPr>
        <w:t>18</w:t>
      </w:r>
      <w:r>
        <w:rPr>
          <w:spacing w:val="-6"/>
          <w:sz w:val="26"/>
        </w:rPr>
        <w:t xml:space="preserve"> </w:t>
      </w:r>
      <w:r>
        <w:rPr>
          <w:sz w:val="26"/>
        </w:rPr>
        <w:t>U.S.C.</w:t>
      </w:r>
      <w:r>
        <w:rPr>
          <w:spacing w:val="-2"/>
          <w:sz w:val="26"/>
        </w:rPr>
        <w:t xml:space="preserve"> </w:t>
      </w:r>
      <w:r>
        <w:rPr>
          <w:sz w:val="26"/>
        </w:rPr>
        <w:t>§</w:t>
      </w:r>
      <w:r>
        <w:rPr>
          <w:spacing w:val="-5"/>
          <w:sz w:val="26"/>
        </w:rPr>
        <w:t xml:space="preserve"> </w:t>
      </w:r>
      <w:r>
        <w:rPr>
          <w:sz w:val="26"/>
        </w:rPr>
        <w:t>1962(d)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provides:</w:t>
      </w:r>
    </w:p>
    <w:p w14:paraId="138EF307" w14:textId="77777777" w:rsidR="0089105C" w:rsidRDefault="0089105C" w:rsidP="00B74C62">
      <w:pPr>
        <w:spacing w:after="200"/>
        <w:ind w:left="720" w:right="960"/>
        <w:jc w:val="both"/>
        <w:rPr>
          <w:sz w:val="26"/>
        </w:rPr>
      </w:pPr>
      <w:r>
        <w:rPr>
          <w:sz w:val="26"/>
        </w:rPr>
        <w:t>It shall be unlawful for any person to conspire to violate any of the provisions of subsections (a), (b) or (c) of this section.</w:t>
      </w:r>
    </w:p>
    <w:p w14:paraId="6E0E2117" w14:textId="77777777" w:rsidR="0089105C" w:rsidRDefault="0089105C" w:rsidP="00B74C62">
      <w:pPr>
        <w:spacing w:after="200"/>
        <w:jc w:val="both"/>
        <w:rPr>
          <w:sz w:val="26"/>
        </w:rPr>
      </w:pPr>
      <w:r>
        <w:rPr>
          <w:i/>
          <w:sz w:val="26"/>
        </w:rPr>
        <w:t>United States v. Browne</w:t>
      </w:r>
      <w:r>
        <w:rPr>
          <w:sz w:val="26"/>
        </w:rPr>
        <w:t xml:space="preserve">, 505 F.3d 1229, 1264 (11th Cir. 2007) (quoting </w:t>
      </w:r>
      <w:r>
        <w:rPr>
          <w:i/>
          <w:sz w:val="26"/>
        </w:rPr>
        <w:t xml:space="preserve">United States v. </w:t>
      </w:r>
      <w:proofErr w:type="spellStart"/>
      <w:r>
        <w:rPr>
          <w:i/>
          <w:sz w:val="26"/>
        </w:rPr>
        <w:t>Abbell</w:t>
      </w:r>
      <w:proofErr w:type="spellEnd"/>
      <w:r w:rsidRPr="00972E6B">
        <w:rPr>
          <w:iCs/>
          <w:sz w:val="26"/>
        </w:rPr>
        <w:t>, 271 F.3d 1286, 1299 (11</w:t>
      </w:r>
      <w:r>
        <w:rPr>
          <w:iCs/>
          <w:sz w:val="26"/>
        </w:rPr>
        <w:t>th</w:t>
      </w:r>
      <w:r w:rsidRPr="00972E6B">
        <w:rPr>
          <w:iCs/>
          <w:sz w:val="26"/>
        </w:rPr>
        <w:t xml:space="preserve"> Cir. 2001</w:t>
      </w:r>
      <w:r>
        <w:rPr>
          <w:sz w:val="26"/>
        </w:rPr>
        <w:t xml:space="preserve">) (“The touchstone of liability is an agreement to participate in a RICO conspiracy, which may be shown in two ways: (1) showing an agreement on the overall objective of the conspiracy, or (2) showing that a defendant agreed to commit personally two predicate acts, thereby agreeing to participate in a ‘single objective.’”)). </w:t>
      </w:r>
    </w:p>
    <w:p w14:paraId="2F186F7C" w14:textId="77777777" w:rsidR="0089105C" w:rsidRDefault="0089105C" w:rsidP="00B74C62">
      <w:pPr>
        <w:spacing w:after="200"/>
        <w:jc w:val="both"/>
        <w:rPr>
          <w:sz w:val="26"/>
        </w:rPr>
      </w:pPr>
      <w:r>
        <w:rPr>
          <w:i/>
          <w:sz w:val="26"/>
        </w:rPr>
        <w:t>United States v. To</w:t>
      </w:r>
      <w:r>
        <w:rPr>
          <w:sz w:val="26"/>
        </w:rPr>
        <w:t xml:space="preserve">, 144 F.3d 737 (11th Cir. 1998) (discussing “single objective” and “overall objective” RICO conspiracy theories); </w:t>
      </w:r>
      <w:r>
        <w:rPr>
          <w:i/>
          <w:sz w:val="26"/>
        </w:rPr>
        <w:t>see also United States v. Beale</w:t>
      </w:r>
      <w:r>
        <w:rPr>
          <w:sz w:val="26"/>
        </w:rPr>
        <w:t>, 921 F.2d 1412 (11th Cir. 1991) (discussing the alternate methods of proving a RICO conspiracy).</w:t>
      </w:r>
    </w:p>
    <w:p w14:paraId="5779B2E6" w14:textId="77777777" w:rsidR="0089105C" w:rsidRDefault="0089105C" w:rsidP="00B74C62">
      <w:pPr>
        <w:spacing w:after="200"/>
        <w:jc w:val="both"/>
        <w:rPr>
          <w:sz w:val="26"/>
        </w:rPr>
      </w:pPr>
      <w:r>
        <w:rPr>
          <w:i/>
          <w:sz w:val="26"/>
        </w:rPr>
        <w:t>Salinas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v.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United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States</w:t>
      </w:r>
      <w:r>
        <w:rPr>
          <w:sz w:val="26"/>
        </w:rPr>
        <w:t>,</w:t>
      </w:r>
      <w:r>
        <w:rPr>
          <w:spacing w:val="12"/>
          <w:sz w:val="26"/>
        </w:rPr>
        <w:t xml:space="preserve"> </w:t>
      </w:r>
      <w:r>
        <w:rPr>
          <w:sz w:val="26"/>
        </w:rPr>
        <w:t>522</w:t>
      </w:r>
      <w:r>
        <w:rPr>
          <w:spacing w:val="12"/>
          <w:sz w:val="26"/>
        </w:rPr>
        <w:t xml:space="preserve"> </w:t>
      </w:r>
      <w:r>
        <w:rPr>
          <w:sz w:val="26"/>
        </w:rPr>
        <w:t>U.S.</w:t>
      </w:r>
      <w:r>
        <w:rPr>
          <w:spacing w:val="12"/>
          <w:sz w:val="26"/>
        </w:rPr>
        <w:t xml:space="preserve"> </w:t>
      </w:r>
      <w:r>
        <w:rPr>
          <w:sz w:val="26"/>
        </w:rPr>
        <w:t>52,</w:t>
      </w:r>
      <w:r>
        <w:rPr>
          <w:spacing w:val="12"/>
          <w:sz w:val="26"/>
        </w:rPr>
        <w:t xml:space="preserve"> </w:t>
      </w:r>
      <w:r>
        <w:rPr>
          <w:sz w:val="26"/>
        </w:rPr>
        <w:t>63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 xml:space="preserve">(1997) </w:t>
      </w:r>
      <w:r>
        <w:rPr>
          <w:sz w:val="26"/>
        </w:rPr>
        <w:t xml:space="preserve">(finding that no overt act is required under the RICO conspiracy statute); </w:t>
      </w:r>
      <w:r>
        <w:rPr>
          <w:i/>
          <w:sz w:val="26"/>
        </w:rPr>
        <w:t>see also United States v. Starrett</w:t>
      </w:r>
      <w:r>
        <w:rPr>
          <w:sz w:val="26"/>
        </w:rPr>
        <w:t>, 55 F.3d 1525 (11th Cir. 1995) (observing that no overt act is required under § 1962(d)).</w:t>
      </w:r>
    </w:p>
    <w:p w14:paraId="72D10D00" w14:textId="77777777" w:rsidR="0089105C" w:rsidRDefault="0089105C" w:rsidP="00B74C62">
      <w:pPr>
        <w:spacing w:after="200"/>
        <w:jc w:val="both"/>
        <w:rPr>
          <w:sz w:val="26"/>
        </w:rPr>
      </w:pPr>
      <w:r>
        <w:rPr>
          <w:sz w:val="26"/>
        </w:rPr>
        <w:t>The</w:t>
      </w:r>
      <w:r>
        <w:rPr>
          <w:spacing w:val="45"/>
          <w:sz w:val="26"/>
        </w:rPr>
        <w:t xml:space="preserve"> </w:t>
      </w:r>
      <w:r>
        <w:rPr>
          <w:sz w:val="26"/>
        </w:rPr>
        <w:t>Committee</w:t>
      </w:r>
      <w:r>
        <w:rPr>
          <w:spacing w:val="45"/>
          <w:sz w:val="26"/>
        </w:rPr>
        <w:t xml:space="preserve"> </w:t>
      </w:r>
      <w:r>
        <w:rPr>
          <w:sz w:val="26"/>
        </w:rPr>
        <w:t>believes</w:t>
      </w:r>
      <w:r>
        <w:rPr>
          <w:spacing w:val="45"/>
          <w:sz w:val="26"/>
        </w:rPr>
        <w:t xml:space="preserve"> </w:t>
      </w:r>
      <w:r>
        <w:rPr>
          <w:sz w:val="26"/>
        </w:rPr>
        <w:t>that</w:t>
      </w:r>
      <w:r>
        <w:rPr>
          <w:spacing w:val="45"/>
          <w:sz w:val="26"/>
        </w:rPr>
        <w:t xml:space="preserve"> </w:t>
      </w:r>
      <w:r>
        <w:rPr>
          <w:sz w:val="26"/>
        </w:rPr>
        <w:t>the</w:t>
      </w:r>
      <w:r>
        <w:rPr>
          <w:spacing w:val="45"/>
          <w:sz w:val="26"/>
        </w:rPr>
        <w:t xml:space="preserve"> </w:t>
      </w:r>
      <w:r>
        <w:rPr>
          <w:sz w:val="26"/>
        </w:rPr>
        <w:t>general</w:t>
      </w:r>
      <w:r>
        <w:rPr>
          <w:spacing w:val="45"/>
          <w:sz w:val="26"/>
        </w:rPr>
        <w:t xml:space="preserve"> </w:t>
      </w:r>
      <w:r>
        <w:rPr>
          <w:sz w:val="26"/>
        </w:rPr>
        <w:t>definition</w:t>
      </w:r>
      <w:r>
        <w:rPr>
          <w:spacing w:val="45"/>
          <w:sz w:val="26"/>
        </w:rPr>
        <w:t xml:space="preserve"> </w:t>
      </w:r>
      <w:r>
        <w:rPr>
          <w:sz w:val="26"/>
        </w:rPr>
        <w:t>of</w:t>
      </w:r>
      <w:r>
        <w:rPr>
          <w:spacing w:val="45"/>
          <w:sz w:val="26"/>
        </w:rPr>
        <w:t xml:space="preserve"> </w:t>
      </w:r>
      <w:r>
        <w:rPr>
          <w:sz w:val="26"/>
        </w:rPr>
        <w:t>“willfully”</w:t>
      </w:r>
      <w:r>
        <w:rPr>
          <w:spacing w:val="47"/>
          <w:sz w:val="26"/>
        </w:rPr>
        <w:t xml:space="preserve"> </w:t>
      </w:r>
      <w:r>
        <w:rPr>
          <w:sz w:val="26"/>
        </w:rPr>
        <w:t>in</w:t>
      </w:r>
      <w:r>
        <w:rPr>
          <w:spacing w:val="45"/>
          <w:sz w:val="26"/>
        </w:rPr>
        <w:t xml:space="preserve"> </w:t>
      </w:r>
      <w:r>
        <w:rPr>
          <w:sz w:val="26"/>
        </w:rPr>
        <w:t>Basic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Instruction</w:t>
      </w:r>
      <w:r>
        <w:rPr>
          <w:sz w:val="26"/>
        </w:rPr>
        <w:t xml:space="preserve"> </w:t>
      </w:r>
      <w:proofErr w:type="spellStart"/>
      <w:r>
        <w:rPr>
          <w:sz w:val="26"/>
        </w:rPr>
        <w:t>9.1A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generally should</w:t>
      </w:r>
      <w:r>
        <w:rPr>
          <w:spacing w:val="-6"/>
          <w:sz w:val="26"/>
        </w:rPr>
        <w:t xml:space="preserve"> </w:t>
      </w:r>
      <w:r>
        <w:rPr>
          <w:sz w:val="26"/>
        </w:rPr>
        <w:t>apply</w:t>
      </w:r>
      <w:r>
        <w:rPr>
          <w:spacing w:val="-6"/>
          <w:sz w:val="26"/>
        </w:rPr>
        <w:t xml:space="preserve"> </w:t>
      </w:r>
      <w:r>
        <w:rPr>
          <w:sz w:val="26"/>
        </w:rPr>
        <w:t>to</w:t>
      </w:r>
      <w:r>
        <w:rPr>
          <w:spacing w:val="-6"/>
          <w:sz w:val="26"/>
        </w:rPr>
        <w:t xml:space="preserve"> </w:t>
      </w:r>
      <w:r>
        <w:rPr>
          <w:sz w:val="26"/>
        </w:rPr>
        <w:t>this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crime.</w:t>
      </w:r>
    </w:p>
    <w:p w14:paraId="58ECA4F8" w14:textId="77777777" w:rsidR="005764C5" w:rsidRDefault="005764C5"/>
    <w:sectPr w:rsidR="005764C5" w:rsidSect="0089105C">
      <w:pgSz w:w="12240" w:h="15840"/>
      <w:pgMar w:top="1380" w:right="1320" w:bottom="1260" w:left="1320" w:header="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5C"/>
    <w:rsid w:val="001A558C"/>
    <w:rsid w:val="002D6EE8"/>
    <w:rsid w:val="005764C5"/>
    <w:rsid w:val="006C30AA"/>
    <w:rsid w:val="0075262D"/>
    <w:rsid w:val="007B42AB"/>
    <w:rsid w:val="008361C4"/>
    <w:rsid w:val="0089105C"/>
    <w:rsid w:val="0098552E"/>
    <w:rsid w:val="00B74C62"/>
    <w:rsid w:val="00EA0C95"/>
    <w:rsid w:val="00F85D53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E9B0E"/>
  <w15:chartTrackingRefBased/>
  <w15:docId w15:val="{9922B84C-1BCD-438C-8834-115EF3AA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05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05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05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05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05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05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05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05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05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05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1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05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1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05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1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05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1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05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0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1</cp:revision>
  <dcterms:created xsi:type="dcterms:W3CDTF">2025-08-06T17:19:00Z</dcterms:created>
  <dcterms:modified xsi:type="dcterms:W3CDTF">2025-08-06T17:40:00Z</dcterms:modified>
</cp:coreProperties>
</file>