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640" w:rsidRDefault="001F7640" w:rsidP="001F7640">
      <w:pPr>
        <w:spacing w:after="0" w:line="240" w:lineRule="auto"/>
        <w:jc w:val="both"/>
        <w:rPr>
          <w:rFonts w:ascii="Times New Roman" w:eastAsia="Arial" w:hAnsi="Times New Roman"/>
          <w:sz w:val="26"/>
          <w:szCs w:val="26"/>
        </w:rPr>
      </w:pPr>
      <w:bookmarkStart w:id="0" w:name="_GoBack"/>
      <w:r>
        <w:rPr>
          <w:rFonts w:ascii="Times New Roman" w:eastAsia="Arial" w:hAnsi="Times New Roman"/>
          <w:b/>
          <w:sz w:val="26"/>
          <w:szCs w:val="26"/>
          <w:u w:val="single"/>
        </w:rPr>
        <w:t>ANNOTATIONS AND COMMENTS</w:t>
      </w:r>
    </w:p>
    <w:p w:rsidR="001F7640" w:rsidRDefault="001F7640" w:rsidP="001F7640">
      <w:pPr>
        <w:spacing w:after="0" w:line="240" w:lineRule="auto"/>
        <w:jc w:val="both"/>
        <w:rPr>
          <w:rFonts w:ascii="Times New Roman" w:eastAsia="Arial" w:hAnsi="Times New Roman"/>
          <w:sz w:val="26"/>
          <w:szCs w:val="26"/>
        </w:rPr>
      </w:pPr>
    </w:p>
    <w:p w:rsidR="001F7640" w:rsidRDefault="001F7640" w:rsidP="001F7640">
      <w:pPr>
        <w:spacing w:after="0" w:line="240" w:lineRule="auto"/>
        <w:jc w:val="both"/>
        <w:rPr>
          <w:rFonts w:ascii="Times New Roman" w:eastAsia="Arial" w:hAnsi="Times New Roman"/>
          <w:sz w:val="26"/>
          <w:szCs w:val="26"/>
        </w:rPr>
      </w:pPr>
      <w:r>
        <w:rPr>
          <w:rFonts w:ascii="Times New Roman" w:eastAsia="Arial" w:hAnsi="Times New Roman"/>
          <w:sz w:val="26"/>
          <w:szCs w:val="26"/>
        </w:rPr>
        <w:t>18 U.S.C. § 2113</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t xml:space="preserve"> provides:</w:t>
      </w:r>
    </w:p>
    <w:p w:rsidR="001F7640" w:rsidRDefault="001F7640" w:rsidP="001F7640">
      <w:pPr>
        <w:spacing w:after="0" w:line="240" w:lineRule="auto"/>
        <w:jc w:val="both"/>
        <w:rPr>
          <w:rFonts w:ascii="Times New Roman" w:eastAsia="Arial" w:hAnsi="Times New Roman"/>
          <w:sz w:val="26"/>
          <w:szCs w:val="26"/>
        </w:rPr>
      </w:pPr>
    </w:p>
    <w:p w:rsidR="001F7640" w:rsidRDefault="001F7640" w:rsidP="001F7640">
      <w:pPr>
        <w:spacing w:after="0" w:line="240" w:lineRule="auto"/>
        <w:ind w:left="360" w:right="360" w:firstLine="360"/>
        <w:jc w:val="both"/>
        <w:rPr>
          <w:rFonts w:ascii="Times New Roman" w:eastAsia="Arial" w:hAnsi="Times New Roman"/>
          <w:sz w:val="26"/>
          <w:szCs w:val="26"/>
        </w:rPr>
      </w:pPr>
      <w:r>
        <w:rPr>
          <w:rFonts w:ascii="Times New Roman" w:eastAsia="Arial" w:hAnsi="Times New Roman"/>
          <w:sz w:val="26"/>
          <w:szCs w:val="26"/>
        </w:rPr>
        <w:t>Whoever, by force and violence, or by intimidation, takes, or attempts to take, from the person or presence of another… any property or money… belonging to… or in the possession of, any bank, credit union, or any savings-and-loan association [shall be guilty of an offense against the United States].</w:t>
      </w:r>
    </w:p>
    <w:p w:rsidR="001F7640" w:rsidRDefault="001F7640" w:rsidP="001F7640">
      <w:pPr>
        <w:spacing w:after="0" w:line="240" w:lineRule="auto"/>
        <w:ind w:right="360"/>
        <w:jc w:val="both"/>
        <w:rPr>
          <w:rFonts w:ascii="Times New Roman" w:eastAsia="Arial" w:hAnsi="Times New Roman"/>
          <w:sz w:val="26"/>
          <w:szCs w:val="26"/>
        </w:rPr>
      </w:pPr>
    </w:p>
    <w:p w:rsidR="001F7640" w:rsidRDefault="001F7640" w:rsidP="001F7640">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Maximum Penalty: Twenty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20 </w:instrText>
      </w:r>
      <w:r>
        <w:rPr>
          <w:rFonts w:ascii="Times New Roman" w:eastAsia="Arial" w:hAnsi="Times New Roman"/>
          <w:sz w:val="26"/>
          <w:szCs w:val="26"/>
        </w:rPr>
        <w:fldChar w:fldCharType="end"/>
      </w:r>
      <w:r>
        <w:rPr>
          <w:rFonts w:ascii="Times New Roman" w:eastAsia="Arial" w:hAnsi="Times New Roman"/>
          <w:sz w:val="26"/>
          <w:szCs w:val="26"/>
        </w:rPr>
        <w:t xml:space="preserve"> years imprisonment and applicable fine.</w:t>
      </w:r>
    </w:p>
    <w:p w:rsidR="001F7640" w:rsidRDefault="001F7640" w:rsidP="001F7640">
      <w:pPr>
        <w:spacing w:after="0" w:line="240" w:lineRule="auto"/>
        <w:jc w:val="both"/>
        <w:rPr>
          <w:rFonts w:ascii="Times New Roman" w:eastAsia="Arial" w:hAnsi="Times New Roman"/>
          <w:sz w:val="26"/>
          <w:szCs w:val="26"/>
        </w:rPr>
      </w:pPr>
    </w:p>
    <w:p w:rsidR="001F7640" w:rsidRDefault="001F7640" w:rsidP="001F7640">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The statute creates various modes of committing the offense (force and violence </w:t>
      </w:r>
      <w:r>
        <w:rPr>
          <w:rFonts w:ascii="Times New Roman" w:eastAsia="Arial" w:hAnsi="Times New Roman"/>
          <w:sz w:val="26"/>
          <w:szCs w:val="26"/>
          <w:u w:val="single"/>
        </w:rPr>
        <w:t>or</w:t>
      </w:r>
      <w:r>
        <w:rPr>
          <w:rFonts w:ascii="Times New Roman" w:eastAsia="Arial" w:hAnsi="Times New Roman"/>
          <w:sz w:val="26"/>
          <w:szCs w:val="26"/>
        </w:rPr>
        <w:t xml:space="preserve"> intimidation) (assault </w:t>
      </w:r>
      <w:r>
        <w:rPr>
          <w:rFonts w:ascii="Times New Roman" w:eastAsia="Arial" w:hAnsi="Times New Roman"/>
          <w:sz w:val="26"/>
          <w:szCs w:val="26"/>
          <w:u w:val="single"/>
        </w:rPr>
        <w:t>or</w:t>
      </w:r>
      <w:r>
        <w:rPr>
          <w:rFonts w:ascii="Times New Roman" w:eastAsia="Arial" w:hAnsi="Times New Roman"/>
          <w:sz w:val="26"/>
          <w:szCs w:val="26"/>
        </w:rPr>
        <w:t xml:space="preserve"> use of a dangerous weapon) and care must be taken in adapting the instruction to the allegations of the indictment. </w:t>
      </w:r>
      <w:r w:rsidRPr="00960EBC">
        <w:rPr>
          <w:rFonts w:ascii="Times New Roman" w:eastAsia="Arial" w:hAnsi="Times New Roman"/>
          <w:i/>
          <w:sz w:val="26"/>
          <w:szCs w:val="26"/>
        </w:rPr>
        <w:t>See United States v. Bizzard</w:t>
      </w:r>
      <w:r>
        <w:rPr>
          <w:rFonts w:ascii="Times New Roman" w:eastAsia="Arial" w:hAnsi="Times New Roman"/>
          <w:sz w:val="26"/>
          <w:szCs w:val="26"/>
        </w:rPr>
        <w:t xml:space="preserve">, </w:t>
      </w:r>
      <w:proofErr w:type="gramStart"/>
      <w:r>
        <w:rPr>
          <w:rFonts w:ascii="Times New Roman" w:eastAsia="Arial" w:hAnsi="Times New Roman"/>
          <w:sz w:val="26"/>
          <w:szCs w:val="26"/>
        </w:rPr>
        <w:t>615 F.2d 1080</w:t>
      </w:r>
      <w:proofErr w:type="gramEnd"/>
      <w:r>
        <w:rPr>
          <w:rFonts w:ascii="Times New Roman" w:eastAsia="Arial" w:hAnsi="Times New Roman"/>
          <w:sz w:val="26"/>
          <w:szCs w:val="26"/>
        </w:rPr>
        <w:t xml:space="preserve"> (5</w:t>
      </w:r>
      <w:r w:rsidRPr="00F90135">
        <w:rPr>
          <w:rFonts w:ascii="Times New Roman" w:eastAsia="Arial" w:hAnsi="Times New Roman"/>
          <w:sz w:val="26"/>
          <w:szCs w:val="26"/>
          <w:vertAlign w:val="superscript"/>
        </w:rPr>
        <w:t>th</w:t>
      </w:r>
      <w:r>
        <w:rPr>
          <w:rFonts w:ascii="Times New Roman" w:eastAsia="Arial" w:hAnsi="Times New Roman"/>
          <w:sz w:val="26"/>
          <w:szCs w:val="26"/>
        </w:rPr>
        <w:t xml:space="preserve"> Cir. 1980).</w:t>
      </w:r>
    </w:p>
    <w:p w:rsidR="001F7640" w:rsidRDefault="001F7640" w:rsidP="001F7640">
      <w:pPr>
        <w:spacing w:after="0" w:line="240" w:lineRule="auto"/>
        <w:jc w:val="both"/>
        <w:rPr>
          <w:rFonts w:ascii="Times New Roman" w:eastAsia="Arial" w:hAnsi="Times New Roman"/>
          <w:sz w:val="26"/>
          <w:szCs w:val="26"/>
        </w:rPr>
      </w:pPr>
    </w:p>
    <w:p w:rsidR="001F7640" w:rsidRDefault="001F7640" w:rsidP="001F7640">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In </w:t>
      </w:r>
      <w:r w:rsidRPr="00960EBC">
        <w:rPr>
          <w:rFonts w:ascii="Times New Roman" w:eastAsia="Arial" w:hAnsi="Times New Roman"/>
          <w:i/>
          <w:sz w:val="26"/>
          <w:szCs w:val="26"/>
        </w:rPr>
        <w:t>Carter v. United States</w:t>
      </w:r>
      <w:r>
        <w:rPr>
          <w:rFonts w:ascii="Times New Roman" w:eastAsia="Arial" w:hAnsi="Times New Roman"/>
          <w:sz w:val="26"/>
          <w:szCs w:val="26"/>
        </w:rPr>
        <w:t>, 530 U.S. 255, 120 S. Ct. 2159 (2000), the court held that the bank larceny provision of § 2113</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2 </w:instrText>
      </w:r>
      <w:r>
        <w:rPr>
          <w:rFonts w:ascii="Times New Roman" w:eastAsia="Arial" w:hAnsi="Times New Roman"/>
          <w:sz w:val="26"/>
          <w:szCs w:val="26"/>
        </w:rPr>
        <w:fldChar w:fldCharType="end"/>
      </w:r>
      <w:r>
        <w:rPr>
          <w:rFonts w:ascii="Times New Roman" w:eastAsia="Arial" w:hAnsi="Times New Roman"/>
          <w:sz w:val="26"/>
          <w:szCs w:val="26"/>
        </w:rPr>
        <w:t xml:space="preserve"> is not a lesser included offense of § 2113</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t>.</w:t>
      </w:r>
    </w:p>
    <w:p w:rsidR="001F7640" w:rsidRDefault="001F7640" w:rsidP="001F7640">
      <w:pPr>
        <w:spacing w:after="0" w:line="240" w:lineRule="auto"/>
        <w:jc w:val="both"/>
        <w:rPr>
          <w:rFonts w:ascii="Times New Roman" w:eastAsia="Arial" w:hAnsi="Times New Roman"/>
          <w:sz w:val="26"/>
          <w:szCs w:val="26"/>
        </w:rPr>
      </w:pPr>
    </w:p>
    <w:p w:rsidR="001F7640" w:rsidRDefault="001F7640" w:rsidP="001F7640">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In </w:t>
      </w:r>
      <w:r w:rsidRPr="00960EBC">
        <w:rPr>
          <w:rFonts w:ascii="Times New Roman" w:eastAsia="Arial" w:hAnsi="Times New Roman"/>
          <w:i/>
          <w:sz w:val="26"/>
          <w:szCs w:val="26"/>
        </w:rPr>
        <w:t>United States v. King</w:t>
      </w:r>
      <w:r>
        <w:rPr>
          <w:rFonts w:ascii="Times New Roman" w:eastAsia="Arial" w:hAnsi="Times New Roman"/>
          <w:sz w:val="26"/>
          <w:szCs w:val="26"/>
        </w:rPr>
        <w:t>, 178 F.3d 1376 (11</w:t>
      </w:r>
      <w:r w:rsidRPr="00F90135">
        <w:rPr>
          <w:rFonts w:ascii="Times New Roman" w:eastAsia="Arial" w:hAnsi="Times New Roman"/>
          <w:sz w:val="26"/>
          <w:szCs w:val="26"/>
          <w:vertAlign w:val="superscript"/>
        </w:rPr>
        <w:t>th</w:t>
      </w:r>
      <w:r>
        <w:rPr>
          <w:rFonts w:ascii="Times New Roman" w:eastAsia="Arial" w:hAnsi="Times New Roman"/>
          <w:sz w:val="26"/>
          <w:szCs w:val="26"/>
        </w:rPr>
        <w:t xml:space="preserve"> Cir. 1999), the court held, in a prosecution under § 2113</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2 </w:instrText>
      </w:r>
      <w:r>
        <w:rPr>
          <w:rFonts w:ascii="Times New Roman" w:eastAsia="Arial" w:hAnsi="Times New Roman"/>
          <w:sz w:val="26"/>
          <w:szCs w:val="26"/>
        </w:rPr>
        <w:fldChar w:fldCharType="end"/>
      </w:r>
      <w:r>
        <w:rPr>
          <w:rFonts w:ascii="Times New Roman" w:eastAsia="Arial" w:hAnsi="Times New Roman"/>
          <w:sz w:val="26"/>
          <w:szCs w:val="26"/>
        </w:rPr>
        <w:t>, that money being transferred in a contractor’s armored vehicle from a bank to the Federal Reserve was money still “in the care, custody, control, management or possession” of the bank because the bank retained legal title to the funds.</w:t>
      </w:r>
    </w:p>
    <w:p w:rsidR="001F7640" w:rsidRDefault="001F7640" w:rsidP="001F7640">
      <w:pPr>
        <w:spacing w:after="0" w:line="240" w:lineRule="auto"/>
        <w:jc w:val="both"/>
        <w:rPr>
          <w:rFonts w:ascii="Times New Roman" w:eastAsia="Arial" w:hAnsi="Times New Roman"/>
          <w:sz w:val="26"/>
          <w:szCs w:val="26"/>
        </w:rPr>
      </w:pPr>
    </w:p>
    <w:p w:rsidR="001F7640" w:rsidRDefault="001F7640" w:rsidP="001F7640">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In </w:t>
      </w:r>
      <w:r w:rsidRPr="00960EBC">
        <w:rPr>
          <w:rFonts w:ascii="Times New Roman" w:eastAsia="Arial" w:hAnsi="Times New Roman"/>
          <w:i/>
          <w:sz w:val="26"/>
          <w:szCs w:val="26"/>
        </w:rPr>
        <w:t>United States v. Mitchell</w:t>
      </w:r>
      <w:r>
        <w:rPr>
          <w:rFonts w:ascii="Times New Roman" w:eastAsia="Arial" w:hAnsi="Times New Roman"/>
          <w:sz w:val="26"/>
          <w:szCs w:val="26"/>
        </w:rPr>
        <w:t>, 146 F.3d 1338 (11</w:t>
      </w:r>
      <w:r w:rsidRPr="00F90135">
        <w:rPr>
          <w:rFonts w:ascii="Times New Roman" w:eastAsia="Arial" w:hAnsi="Times New Roman"/>
          <w:sz w:val="26"/>
          <w:szCs w:val="26"/>
          <w:vertAlign w:val="superscript"/>
        </w:rPr>
        <w:t>th</w:t>
      </w:r>
      <w:r>
        <w:rPr>
          <w:rFonts w:ascii="Times New Roman" w:eastAsia="Arial" w:hAnsi="Times New Roman"/>
          <w:sz w:val="26"/>
          <w:szCs w:val="26"/>
        </w:rPr>
        <w:t xml:space="preserve"> Cir. 1998), the court upheld arguably inconsistent verdicts finding the Defendant guilty under § 2113</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4 </w:instrText>
      </w:r>
      <w:r>
        <w:rPr>
          <w:rFonts w:ascii="Times New Roman" w:eastAsia="Arial" w:hAnsi="Times New Roman"/>
          <w:sz w:val="26"/>
          <w:szCs w:val="26"/>
        </w:rPr>
        <w:fldChar w:fldCharType="end"/>
      </w:r>
      <w:r>
        <w:rPr>
          <w:rFonts w:ascii="Times New Roman" w:eastAsia="Arial" w:hAnsi="Times New Roman"/>
          <w:sz w:val="26"/>
          <w:szCs w:val="26"/>
        </w:rPr>
        <w:t xml:space="preserve"> (armed bank robbery), but acquitting him under § 924</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3 </w:instrText>
      </w:r>
      <w:r>
        <w:rPr>
          <w:rFonts w:ascii="Times New Roman" w:eastAsia="Arial" w:hAnsi="Times New Roman"/>
          <w:sz w:val="26"/>
          <w:szCs w:val="26"/>
        </w:rPr>
        <w:fldChar w:fldCharType="end"/>
      </w:r>
      <w:r>
        <w:rPr>
          <w:rFonts w:ascii="Times New Roman" w:eastAsia="Arial" w:hAnsi="Times New Roman"/>
          <w:sz w:val="26"/>
          <w:szCs w:val="26"/>
        </w:rPr>
        <w:t xml:space="preserve"> (carrying a firearm during a crime of violence).</w:t>
      </w:r>
    </w:p>
    <w:p w:rsidR="001F7640" w:rsidRDefault="001F7640" w:rsidP="001F7640">
      <w:pPr>
        <w:spacing w:after="0" w:line="240" w:lineRule="auto"/>
        <w:jc w:val="both"/>
        <w:rPr>
          <w:rFonts w:ascii="Times New Roman" w:eastAsia="Arial" w:hAnsi="Times New Roman"/>
          <w:sz w:val="26"/>
          <w:szCs w:val="26"/>
        </w:rPr>
      </w:pPr>
    </w:p>
    <w:p w:rsidR="001F7640" w:rsidRDefault="001F7640" w:rsidP="001F7640">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“Intimidation” occurs “when an ordinary person in the teller’s position reasonably could infer a threat of bodily harm from the defendant’s acts.” </w:t>
      </w:r>
      <w:proofErr w:type="gramStart"/>
      <w:r w:rsidRPr="00960EBC">
        <w:rPr>
          <w:rFonts w:ascii="Times New Roman" w:eastAsia="Arial" w:hAnsi="Times New Roman"/>
          <w:i/>
          <w:sz w:val="26"/>
          <w:szCs w:val="26"/>
        </w:rPr>
        <w:t>United States v. Kelley</w:t>
      </w:r>
      <w:r>
        <w:rPr>
          <w:rFonts w:ascii="Times New Roman" w:eastAsia="Arial" w:hAnsi="Times New Roman"/>
          <w:sz w:val="26"/>
          <w:szCs w:val="26"/>
        </w:rPr>
        <w:t>, 412 F.3d 1240, 1244 (11</w:t>
      </w:r>
      <w:r w:rsidRPr="00A41576">
        <w:rPr>
          <w:rFonts w:ascii="Times New Roman" w:eastAsia="Arial" w:hAnsi="Times New Roman"/>
          <w:sz w:val="26"/>
          <w:szCs w:val="26"/>
          <w:vertAlign w:val="superscript"/>
        </w:rPr>
        <w:t>th</w:t>
      </w:r>
      <w:r>
        <w:rPr>
          <w:rFonts w:ascii="Times New Roman" w:eastAsia="Arial" w:hAnsi="Times New Roman"/>
          <w:sz w:val="26"/>
          <w:szCs w:val="26"/>
        </w:rPr>
        <w:t xml:space="preserve"> Cir. 2005).</w:t>
      </w:r>
      <w:proofErr w:type="gramEnd"/>
      <w:r>
        <w:rPr>
          <w:rFonts w:ascii="Times New Roman" w:eastAsia="Arial" w:hAnsi="Times New Roman"/>
          <w:sz w:val="26"/>
          <w:szCs w:val="26"/>
        </w:rPr>
        <w:t xml:space="preserve"> “Whether a particular act constitutes intimidation is viewed objectively.” </w:t>
      </w:r>
      <w:r w:rsidRPr="00960EBC">
        <w:rPr>
          <w:rFonts w:ascii="Times New Roman" w:eastAsia="Arial" w:hAnsi="Times New Roman"/>
          <w:i/>
          <w:sz w:val="26"/>
          <w:szCs w:val="26"/>
        </w:rPr>
        <w:t>Id</w:t>
      </w:r>
      <w:r>
        <w:rPr>
          <w:rFonts w:ascii="Times New Roman" w:eastAsia="Arial" w:hAnsi="Times New Roman"/>
          <w:sz w:val="26"/>
          <w:szCs w:val="26"/>
        </w:rPr>
        <w:t xml:space="preserve">. The defendant need not intend for the act to be intimidating. </w:t>
      </w:r>
      <w:r w:rsidRPr="00960EBC">
        <w:rPr>
          <w:rFonts w:ascii="Times New Roman" w:eastAsia="Arial" w:hAnsi="Times New Roman"/>
          <w:i/>
          <w:sz w:val="26"/>
          <w:szCs w:val="26"/>
        </w:rPr>
        <w:t>Id</w:t>
      </w:r>
      <w:r>
        <w:rPr>
          <w:rFonts w:ascii="Times New Roman" w:eastAsia="Arial" w:hAnsi="Times New Roman"/>
          <w:sz w:val="26"/>
          <w:szCs w:val="26"/>
        </w:rPr>
        <w:t>.</w:t>
      </w:r>
    </w:p>
    <w:p w:rsidR="001F7640" w:rsidRDefault="001F7640" w:rsidP="001F7640">
      <w:pPr>
        <w:spacing w:after="0" w:line="240" w:lineRule="auto"/>
        <w:jc w:val="both"/>
        <w:rPr>
          <w:rFonts w:ascii="Times New Roman" w:eastAsia="Arial" w:hAnsi="Times New Roman"/>
          <w:sz w:val="26"/>
          <w:szCs w:val="26"/>
        </w:rPr>
      </w:pPr>
    </w:p>
    <w:p w:rsidR="00725167" w:rsidRPr="001F7640" w:rsidRDefault="001F7640" w:rsidP="001F7640">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A taking “from the person or in the presence of another” occurs when the money or property is “so within [the victim’s] reach, inspection, observation or control, that [the victim] could if not overcome by violence or prevented by fear, retain his possession of it.” </w:t>
      </w:r>
      <w:proofErr w:type="gramStart"/>
      <w:r w:rsidRPr="00960EBC">
        <w:rPr>
          <w:rFonts w:ascii="Times New Roman" w:eastAsia="Arial" w:hAnsi="Times New Roman"/>
          <w:i/>
          <w:sz w:val="26"/>
          <w:szCs w:val="26"/>
        </w:rPr>
        <w:t>United States v. Kelley</w:t>
      </w:r>
      <w:r>
        <w:rPr>
          <w:rFonts w:ascii="Times New Roman" w:eastAsia="Arial" w:hAnsi="Times New Roman"/>
          <w:sz w:val="26"/>
          <w:szCs w:val="26"/>
        </w:rPr>
        <w:t>, 412 F.3d 1240, 1246 (11</w:t>
      </w:r>
      <w:r w:rsidRPr="00A41576">
        <w:rPr>
          <w:rFonts w:ascii="Times New Roman" w:eastAsia="Arial" w:hAnsi="Times New Roman"/>
          <w:sz w:val="26"/>
          <w:szCs w:val="26"/>
          <w:vertAlign w:val="superscript"/>
        </w:rPr>
        <w:t>th</w:t>
      </w:r>
      <w:r>
        <w:rPr>
          <w:rFonts w:ascii="Times New Roman" w:eastAsia="Arial" w:hAnsi="Times New Roman"/>
          <w:sz w:val="26"/>
          <w:szCs w:val="26"/>
        </w:rPr>
        <w:t xml:space="preserve"> Cir. 2005).</w:t>
      </w:r>
      <w:bookmarkEnd w:id="0"/>
      <w:proofErr w:type="gramEnd"/>
    </w:p>
    <w:sectPr w:rsidR="00725167" w:rsidRPr="001F76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419B" w:rsidRDefault="0000419B" w:rsidP="0000419B">
      <w:pPr>
        <w:spacing w:after="0" w:line="240" w:lineRule="auto"/>
      </w:pPr>
      <w:r>
        <w:separator/>
      </w:r>
    </w:p>
  </w:endnote>
  <w:endnote w:type="continuationSeparator" w:id="0">
    <w:p w:rsidR="0000419B" w:rsidRDefault="0000419B" w:rsidP="000041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419B" w:rsidRDefault="0000419B" w:rsidP="0000419B">
      <w:pPr>
        <w:spacing w:after="0" w:line="240" w:lineRule="auto"/>
      </w:pPr>
      <w:r>
        <w:separator/>
      </w:r>
    </w:p>
  </w:footnote>
  <w:footnote w:type="continuationSeparator" w:id="0">
    <w:p w:rsidR="0000419B" w:rsidRDefault="0000419B" w:rsidP="0000419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01A23"/>
    <w:rsid w:val="0000419B"/>
    <w:rsid w:val="00014B03"/>
    <w:rsid w:val="000161B0"/>
    <w:rsid w:val="00020007"/>
    <w:rsid w:val="0002352A"/>
    <w:rsid w:val="000256FD"/>
    <w:rsid w:val="0003583F"/>
    <w:rsid w:val="00042055"/>
    <w:rsid w:val="00044726"/>
    <w:rsid w:val="0005723A"/>
    <w:rsid w:val="0006716B"/>
    <w:rsid w:val="00087D55"/>
    <w:rsid w:val="00091548"/>
    <w:rsid w:val="00097C62"/>
    <w:rsid w:val="000A7260"/>
    <w:rsid w:val="000B303C"/>
    <w:rsid w:val="000C1BFC"/>
    <w:rsid w:val="000C32C1"/>
    <w:rsid w:val="000C3F4B"/>
    <w:rsid w:val="000D5591"/>
    <w:rsid w:val="00110446"/>
    <w:rsid w:val="001217D5"/>
    <w:rsid w:val="0012744C"/>
    <w:rsid w:val="00135397"/>
    <w:rsid w:val="00137BA2"/>
    <w:rsid w:val="00144B24"/>
    <w:rsid w:val="001450C4"/>
    <w:rsid w:val="001536CF"/>
    <w:rsid w:val="00157747"/>
    <w:rsid w:val="00166AB9"/>
    <w:rsid w:val="00194E82"/>
    <w:rsid w:val="001E3479"/>
    <w:rsid w:val="001E4EF8"/>
    <w:rsid w:val="001E5B53"/>
    <w:rsid w:val="001F7640"/>
    <w:rsid w:val="002077C3"/>
    <w:rsid w:val="002161E7"/>
    <w:rsid w:val="002329BF"/>
    <w:rsid w:val="00233997"/>
    <w:rsid w:val="00236275"/>
    <w:rsid w:val="00245EF2"/>
    <w:rsid w:val="002604B9"/>
    <w:rsid w:val="00290544"/>
    <w:rsid w:val="002D2202"/>
    <w:rsid w:val="003067A0"/>
    <w:rsid w:val="00314335"/>
    <w:rsid w:val="00321868"/>
    <w:rsid w:val="00372806"/>
    <w:rsid w:val="003A75E9"/>
    <w:rsid w:val="003B0729"/>
    <w:rsid w:val="003B09A8"/>
    <w:rsid w:val="003C2BF8"/>
    <w:rsid w:val="003D6207"/>
    <w:rsid w:val="00406A43"/>
    <w:rsid w:val="00431B02"/>
    <w:rsid w:val="00465F35"/>
    <w:rsid w:val="00483B81"/>
    <w:rsid w:val="004A1AAC"/>
    <w:rsid w:val="004A354F"/>
    <w:rsid w:val="004C148A"/>
    <w:rsid w:val="004C531E"/>
    <w:rsid w:val="004D06A2"/>
    <w:rsid w:val="00503A01"/>
    <w:rsid w:val="00511CE4"/>
    <w:rsid w:val="00543EBC"/>
    <w:rsid w:val="0056064A"/>
    <w:rsid w:val="00565EF7"/>
    <w:rsid w:val="00586722"/>
    <w:rsid w:val="005B45D9"/>
    <w:rsid w:val="005C4DB9"/>
    <w:rsid w:val="005F50E3"/>
    <w:rsid w:val="00615301"/>
    <w:rsid w:val="0061645E"/>
    <w:rsid w:val="006179FB"/>
    <w:rsid w:val="00632C46"/>
    <w:rsid w:val="00633618"/>
    <w:rsid w:val="00636B96"/>
    <w:rsid w:val="006B1FC0"/>
    <w:rsid w:val="006C204A"/>
    <w:rsid w:val="00725167"/>
    <w:rsid w:val="00780FDD"/>
    <w:rsid w:val="00783A2A"/>
    <w:rsid w:val="007C4B9C"/>
    <w:rsid w:val="007F2C07"/>
    <w:rsid w:val="0080418B"/>
    <w:rsid w:val="00804614"/>
    <w:rsid w:val="0081575C"/>
    <w:rsid w:val="00824AA2"/>
    <w:rsid w:val="00831238"/>
    <w:rsid w:val="00841F17"/>
    <w:rsid w:val="008A01B6"/>
    <w:rsid w:val="008A442C"/>
    <w:rsid w:val="008B149D"/>
    <w:rsid w:val="008B3742"/>
    <w:rsid w:val="008B4118"/>
    <w:rsid w:val="008C025F"/>
    <w:rsid w:val="008C1CC7"/>
    <w:rsid w:val="008D77A9"/>
    <w:rsid w:val="008E0F69"/>
    <w:rsid w:val="008E221D"/>
    <w:rsid w:val="008E4BA2"/>
    <w:rsid w:val="008E7C9B"/>
    <w:rsid w:val="00912D2D"/>
    <w:rsid w:val="009458BA"/>
    <w:rsid w:val="00960EBC"/>
    <w:rsid w:val="009745AC"/>
    <w:rsid w:val="009A4745"/>
    <w:rsid w:val="009B3EC8"/>
    <w:rsid w:val="009C1E78"/>
    <w:rsid w:val="009E1B73"/>
    <w:rsid w:val="009F5DAD"/>
    <w:rsid w:val="00A355FD"/>
    <w:rsid w:val="00A66EA6"/>
    <w:rsid w:val="00A746F3"/>
    <w:rsid w:val="00A82412"/>
    <w:rsid w:val="00AA01A6"/>
    <w:rsid w:val="00AA4174"/>
    <w:rsid w:val="00AC24E2"/>
    <w:rsid w:val="00AE0F43"/>
    <w:rsid w:val="00AE20D4"/>
    <w:rsid w:val="00AF2C77"/>
    <w:rsid w:val="00B111CD"/>
    <w:rsid w:val="00B11304"/>
    <w:rsid w:val="00B55CBA"/>
    <w:rsid w:val="00B8093D"/>
    <w:rsid w:val="00B83F0B"/>
    <w:rsid w:val="00B85D99"/>
    <w:rsid w:val="00B930F5"/>
    <w:rsid w:val="00BA1F2B"/>
    <w:rsid w:val="00BC6D90"/>
    <w:rsid w:val="00BD01A4"/>
    <w:rsid w:val="00BE616A"/>
    <w:rsid w:val="00BE645C"/>
    <w:rsid w:val="00C1091D"/>
    <w:rsid w:val="00C6290E"/>
    <w:rsid w:val="00C83E88"/>
    <w:rsid w:val="00CA3187"/>
    <w:rsid w:val="00CB4D2A"/>
    <w:rsid w:val="00CC4195"/>
    <w:rsid w:val="00CC4FBE"/>
    <w:rsid w:val="00CD51F7"/>
    <w:rsid w:val="00CD734E"/>
    <w:rsid w:val="00CE7DC5"/>
    <w:rsid w:val="00CF4F9A"/>
    <w:rsid w:val="00D163A7"/>
    <w:rsid w:val="00D513C4"/>
    <w:rsid w:val="00D7262F"/>
    <w:rsid w:val="00DA00D9"/>
    <w:rsid w:val="00DC18AE"/>
    <w:rsid w:val="00DC4B82"/>
    <w:rsid w:val="00DE06FC"/>
    <w:rsid w:val="00DE55A6"/>
    <w:rsid w:val="00DE7E97"/>
    <w:rsid w:val="00DE7F68"/>
    <w:rsid w:val="00E109DF"/>
    <w:rsid w:val="00E20CB0"/>
    <w:rsid w:val="00E31401"/>
    <w:rsid w:val="00E419F1"/>
    <w:rsid w:val="00E42DFC"/>
    <w:rsid w:val="00E4328C"/>
    <w:rsid w:val="00E47F68"/>
    <w:rsid w:val="00E61913"/>
    <w:rsid w:val="00E627E0"/>
    <w:rsid w:val="00E65F7A"/>
    <w:rsid w:val="00E81914"/>
    <w:rsid w:val="00E85563"/>
    <w:rsid w:val="00EA08A4"/>
    <w:rsid w:val="00EB1384"/>
    <w:rsid w:val="00EC39ED"/>
    <w:rsid w:val="00EC4504"/>
    <w:rsid w:val="00ED619F"/>
    <w:rsid w:val="00EF1AED"/>
    <w:rsid w:val="00F27B7F"/>
    <w:rsid w:val="00F57477"/>
    <w:rsid w:val="00F64671"/>
    <w:rsid w:val="00F6640E"/>
    <w:rsid w:val="00F7146C"/>
    <w:rsid w:val="00F81AFD"/>
    <w:rsid w:val="00F8667A"/>
    <w:rsid w:val="00FA4737"/>
    <w:rsid w:val="00FA6C49"/>
    <w:rsid w:val="00FC5CF8"/>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0041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419B"/>
  </w:style>
  <w:style w:type="paragraph" w:styleId="Footer">
    <w:name w:val="footer"/>
    <w:basedOn w:val="Normal"/>
    <w:link w:val="FooterChar"/>
    <w:uiPriority w:val="99"/>
    <w:unhideWhenUsed/>
    <w:rsid w:val="000041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41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0041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419B"/>
  </w:style>
  <w:style w:type="paragraph" w:styleId="Footer">
    <w:name w:val="footer"/>
    <w:basedOn w:val="Normal"/>
    <w:link w:val="FooterChar"/>
    <w:uiPriority w:val="99"/>
    <w:unhideWhenUsed/>
    <w:rsid w:val="000041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41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360</Words>
  <Characters>2053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2014-04-01T13:21:00Z</dcterms:created>
  <dcterms:modified xsi:type="dcterms:W3CDTF">2014-06-17T15:43:00Z</dcterms:modified>
</cp:coreProperties>
</file>