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and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provide: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by force and violence, or by intimidation, takes, or attempts to take, from the person or presence of another,</w:t>
      </w:r>
      <w:r w:rsidR="0037704D">
        <w:rPr>
          <w:rFonts w:ascii="Times New Roman" w:eastAsia="Arial" w:hAnsi="Times New Roman"/>
          <w:sz w:val="26"/>
          <w:szCs w:val="26"/>
        </w:rPr>
        <w:t>…</w:t>
      </w:r>
      <w:r>
        <w:rPr>
          <w:rFonts w:ascii="Times New Roman" w:eastAsia="Arial" w:hAnsi="Times New Roman"/>
          <w:sz w:val="26"/>
          <w:szCs w:val="26"/>
        </w:rPr>
        <w:t xml:space="preserve"> any property or money</w:t>
      </w:r>
      <w:r w:rsidR="0037704D">
        <w:rPr>
          <w:rFonts w:ascii="Times New Roman" w:eastAsia="Arial" w:hAnsi="Times New Roman"/>
          <w:sz w:val="26"/>
          <w:szCs w:val="26"/>
        </w:rPr>
        <w:t>…</w:t>
      </w:r>
      <w:r>
        <w:rPr>
          <w:rFonts w:ascii="Times New Roman" w:eastAsia="Arial" w:hAnsi="Times New Roman"/>
          <w:sz w:val="26"/>
          <w:szCs w:val="26"/>
        </w:rPr>
        <w:t xml:space="preserve"> belonging to… or in the possession of any bank, credit union, or any savings-and-loan association [shall be guilty of an offense against the United States].</w:t>
      </w:r>
    </w:p>
    <w:p w:rsidR="0011378D" w:rsidRDefault="0011378D" w:rsidP="0011378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Whoever, in committing, or attempting to commit, any offense defined in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… of this section, assaults any person, or puts in jeopardy the life of any person by the use of a dangerous weapon or device [shall be punished as provided by law].</w:t>
      </w:r>
    </w:p>
    <w:p w:rsidR="0011378D" w:rsidRDefault="0011378D" w:rsidP="0011378D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37704D">
      <w:pPr>
        <w:spacing w:after="0" w:line="240" w:lineRule="auto"/>
        <w:ind w:left="2070" w:hanging="207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Twenty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as to </w:t>
      </w:r>
      <w:proofErr w:type="gramStart"/>
      <w:r>
        <w:rPr>
          <w:rFonts w:ascii="Times New Roman" w:eastAsia="Arial" w:hAnsi="Times New Roman"/>
          <w:sz w:val="26"/>
          <w:szCs w:val="26"/>
        </w:rPr>
        <w:t xml:space="preserve">subsection </w:t>
      </w:r>
      <w:proofErr w:type="gramEnd"/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; and </w:t>
      </w:r>
      <w:r w:rsidR="00F62BEB">
        <w:rPr>
          <w:rFonts w:ascii="Times New Roman" w:eastAsia="Arial" w:hAnsi="Times New Roman"/>
          <w:sz w:val="26"/>
          <w:szCs w:val="26"/>
        </w:rPr>
        <w:t>T</w:t>
      </w:r>
      <w:r>
        <w:rPr>
          <w:rFonts w:ascii="Times New Roman" w:eastAsia="Arial" w:hAnsi="Times New Roman"/>
          <w:sz w:val="26"/>
          <w:szCs w:val="26"/>
        </w:rPr>
        <w:t xml:space="preserve">wenty-five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 imprisonment and applicable fine as to subsection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statute creates various modes of committing the offense (force and violence </w:t>
      </w:r>
      <w:r>
        <w:rPr>
          <w:rFonts w:ascii="Times New Roman" w:eastAsia="Arial" w:hAnsi="Times New Roman"/>
          <w:sz w:val="26"/>
          <w:szCs w:val="26"/>
          <w:u w:val="single"/>
        </w:rPr>
        <w:t>or</w:t>
      </w:r>
      <w:r>
        <w:rPr>
          <w:rFonts w:ascii="Times New Roman" w:eastAsia="Arial" w:hAnsi="Times New Roman"/>
          <w:sz w:val="26"/>
          <w:szCs w:val="26"/>
        </w:rPr>
        <w:t xml:space="preserve"> intimidation) (assault </w:t>
      </w:r>
      <w:r>
        <w:rPr>
          <w:rFonts w:ascii="Times New Roman" w:eastAsia="Arial" w:hAnsi="Times New Roman"/>
          <w:sz w:val="26"/>
          <w:szCs w:val="26"/>
          <w:u w:val="single"/>
        </w:rPr>
        <w:t>or</w:t>
      </w:r>
      <w:r>
        <w:rPr>
          <w:rFonts w:ascii="Times New Roman" w:eastAsia="Arial" w:hAnsi="Times New Roman"/>
          <w:sz w:val="26"/>
          <w:szCs w:val="26"/>
        </w:rPr>
        <w:t xml:space="preserve"> use of a dangerous weapon) and care must be taken in adapting the instruction to the allegations of the indictment. </w:t>
      </w:r>
      <w:r w:rsidRPr="0037704D">
        <w:rPr>
          <w:rFonts w:ascii="Times New Roman" w:eastAsia="Arial" w:hAnsi="Times New Roman"/>
          <w:i/>
          <w:sz w:val="26"/>
          <w:szCs w:val="26"/>
        </w:rPr>
        <w:t>See United States v. B</w:t>
      </w:r>
      <w:r w:rsidR="00F62BEB">
        <w:rPr>
          <w:rFonts w:ascii="Times New Roman" w:eastAsia="Arial" w:hAnsi="Times New Roman"/>
          <w:i/>
          <w:sz w:val="26"/>
          <w:szCs w:val="26"/>
        </w:rPr>
        <w:t>l</w:t>
      </w:r>
      <w:r w:rsidRPr="0037704D">
        <w:rPr>
          <w:rFonts w:ascii="Times New Roman" w:eastAsia="Arial" w:hAnsi="Times New Roman"/>
          <w:i/>
          <w:sz w:val="26"/>
          <w:szCs w:val="26"/>
        </w:rPr>
        <w:t>izzard</w:t>
      </w:r>
      <w:r>
        <w:rPr>
          <w:rFonts w:ascii="Times New Roman" w:eastAsia="Arial" w:hAnsi="Times New Roman"/>
          <w:sz w:val="26"/>
          <w:szCs w:val="26"/>
        </w:rPr>
        <w:t xml:space="preserve">, </w:t>
      </w:r>
      <w:proofErr w:type="gramStart"/>
      <w:r>
        <w:rPr>
          <w:rFonts w:ascii="Times New Roman" w:eastAsia="Arial" w:hAnsi="Times New Roman"/>
          <w:sz w:val="26"/>
          <w:szCs w:val="26"/>
        </w:rPr>
        <w:t>615 F.2d 1080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(5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1980).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37704D">
        <w:rPr>
          <w:rFonts w:ascii="Times New Roman" w:eastAsia="Arial" w:hAnsi="Times New Roman"/>
          <w:i/>
          <w:sz w:val="26"/>
          <w:szCs w:val="26"/>
        </w:rPr>
        <w:t>McLaughlin v. United States</w:t>
      </w:r>
      <w:r>
        <w:rPr>
          <w:rFonts w:ascii="Times New Roman" w:eastAsia="Arial" w:hAnsi="Times New Roman"/>
          <w:sz w:val="26"/>
          <w:szCs w:val="26"/>
        </w:rPr>
        <w:t>, 476 U.S. 16, 19, 106 S. Ct. 1677, 1678, 90 L. Ed. 2d 15 (1986)</w:t>
      </w:r>
      <w:r w:rsidR="00F62BEB">
        <w:rPr>
          <w:rFonts w:ascii="Times New Roman" w:eastAsia="Arial" w:hAnsi="Times New Roman"/>
          <w:sz w:val="26"/>
          <w:szCs w:val="26"/>
        </w:rPr>
        <w:t>,</w:t>
      </w:r>
      <w:r>
        <w:rPr>
          <w:rFonts w:ascii="Times New Roman" w:eastAsia="Arial" w:hAnsi="Times New Roman"/>
          <w:sz w:val="26"/>
          <w:szCs w:val="26"/>
        </w:rPr>
        <w:t xml:space="preserve"> the Supreme Court held that an unloaded gun is a dangerous weapon. One of the three reasons given for this conclusion, each of which the Court characterized as “independently sufficient,” was that the display of a gun instills fear in the average citizen and creates an immediate danger of a violent response. </w:t>
      </w:r>
      <w:r w:rsidRPr="0037704D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>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Pr="00730877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Citing to </w:t>
      </w:r>
      <w:r w:rsidRPr="0037704D">
        <w:rPr>
          <w:rFonts w:ascii="Times New Roman" w:eastAsia="Arial" w:hAnsi="Times New Roman"/>
          <w:i/>
          <w:sz w:val="26"/>
          <w:szCs w:val="26"/>
        </w:rPr>
        <w:t>McLaughlin</w:t>
      </w:r>
      <w:r>
        <w:rPr>
          <w:rFonts w:ascii="Times New Roman" w:eastAsia="Arial" w:hAnsi="Times New Roman"/>
          <w:sz w:val="26"/>
          <w:szCs w:val="26"/>
        </w:rPr>
        <w:t>, the Eleventh Circuit held that a toy gun should be considered a dangerous weapon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. </w:t>
      </w:r>
      <w:proofErr w:type="gramStart"/>
      <w:r w:rsidRPr="0037704D">
        <w:rPr>
          <w:rFonts w:ascii="Times New Roman" w:eastAsia="Arial" w:hAnsi="Times New Roman"/>
          <w:i/>
          <w:sz w:val="26"/>
          <w:szCs w:val="26"/>
        </w:rPr>
        <w:t>United States v. Garrett</w:t>
      </w:r>
      <w:r>
        <w:rPr>
          <w:rFonts w:ascii="Times New Roman" w:eastAsia="Arial" w:hAnsi="Times New Roman"/>
          <w:sz w:val="26"/>
          <w:szCs w:val="26"/>
        </w:rPr>
        <w:t xml:space="preserve">, 3 </w:t>
      </w:r>
      <w:r w:rsidR="00F62BEB">
        <w:rPr>
          <w:rFonts w:ascii="Times New Roman" w:eastAsia="Arial" w:hAnsi="Times New Roman"/>
          <w:sz w:val="26"/>
          <w:szCs w:val="26"/>
        </w:rPr>
        <w:t>F</w:t>
      </w:r>
      <w:r>
        <w:rPr>
          <w:rFonts w:ascii="Times New Roman" w:eastAsia="Arial" w:hAnsi="Times New Roman"/>
          <w:sz w:val="26"/>
          <w:szCs w:val="26"/>
        </w:rPr>
        <w:t>.3d 390, 391 (11</w:t>
      </w:r>
      <w:r w:rsidRPr="00730877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1993).</w:t>
      </w:r>
      <w:proofErr w:type="gramEnd"/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37704D">
        <w:rPr>
          <w:rFonts w:ascii="Times New Roman" w:eastAsia="Arial" w:hAnsi="Times New Roman"/>
          <w:i/>
          <w:sz w:val="26"/>
          <w:szCs w:val="26"/>
        </w:rPr>
        <w:t>United States v. King</w:t>
      </w:r>
      <w:r>
        <w:rPr>
          <w:rFonts w:ascii="Times New Roman" w:eastAsia="Arial" w:hAnsi="Times New Roman"/>
          <w:sz w:val="26"/>
          <w:szCs w:val="26"/>
        </w:rPr>
        <w:t>, 178 F.3d 1376 (11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1999), the court held, in a prosecution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, that money being transferred in a contractor’s armored vehicle from a bank to the Federal Reserve was money still “in the care, custody, control, management or possession” of the bank because the bank retained legal title to the funds.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In </w:t>
      </w:r>
      <w:r w:rsidRPr="0037704D">
        <w:rPr>
          <w:rFonts w:ascii="Times New Roman" w:eastAsia="Arial" w:hAnsi="Times New Roman"/>
          <w:i/>
          <w:sz w:val="26"/>
          <w:szCs w:val="26"/>
        </w:rPr>
        <w:t>United States v. Mitchell</w:t>
      </w:r>
      <w:r>
        <w:rPr>
          <w:rFonts w:ascii="Times New Roman" w:eastAsia="Arial" w:hAnsi="Times New Roman"/>
          <w:sz w:val="26"/>
          <w:szCs w:val="26"/>
        </w:rPr>
        <w:t>, 146 F.3d 1338 (11</w:t>
      </w:r>
      <w:r w:rsidRPr="00F90135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1998), the court upheld arguably inconsistent verdicts finding the Defendant guilty under § 2113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(armed bank robbery), but acquitting him under § 924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(carrying a firearm during a crime of violence).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“Intimidation” occurs “when an ordinary person in the teller’s position reasonably could </w:t>
      </w:r>
      <w:r>
        <w:rPr>
          <w:rFonts w:ascii="Times New Roman" w:eastAsia="Arial" w:hAnsi="Times New Roman"/>
          <w:sz w:val="26"/>
          <w:szCs w:val="26"/>
        </w:rPr>
        <w:lastRenderedPageBreak/>
        <w:t xml:space="preserve">infer a threat of bodily harm from the defendant’s acts.” </w:t>
      </w:r>
      <w:proofErr w:type="gramStart"/>
      <w:r w:rsidRPr="0037704D">
        <w:rPr>
          <w:rFonts w:ascii="Times New Roman" w:eastAsia="Arial" w:hAnsi="Times New Roman"/>
          <w:i/>
          <w:sz w:val="26"/>
          <w:szCs w:val="26"/>
        </w:rPr>
        <w:t>United States v. Kelley</w:t>
      </w:r>
      <w:r>
        <w:rPr>
          <w:rFonts w:ascii="Times New Roman" w:eastAsia="Arial" w:hAnsi="Times New Roman"/>
          <w:sz w:val="26"/>
          <w:szCs w:val="26"/>
        </w:rPr>
        <w:t>, 412 F.3d 1240, 1244 (11</w:t>
      </w:r>
      <w:r w:rsidRPr="00A41576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2005).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“Whether a particular act constitutes intimidation is viewed objectively.” </w:t>
      </w:r>
      <w:r w:rsidRPr="0037704D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 xml:space="preserve">. The defendant need not intend for the act to be intimidating. </w:t>
      </w:r>
      <w:r w:rsidRPr="0037704D">
        <w:rPr>
          <w:rFonts w:ascii="Times New Roman" w:eastAsia="Arial" w:hAnsi="Times New Roman"/>
          <w:i/>
          <w:sz w:val="26"/>
          <w:szCs w:val="26"/>
        </w:rPr>
        <w:t>Id</w:t>
      </w:r>
      <w:r>
        <w:rPr>
          <w:rFonts w:ascii="Times New Roman" w:eastAsia="Arial" w:hAnsi="Times New Roman"/>
          <w:sz w:val="26"/>
          <w:szCs w:val="26"/>
        </w:rPr>
        <w:t>.</w:t>
      </w:r>
    </w:p>
    <w:p w:rsid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1378D" w:rsidRDefault="0011378D" w:rsidP="0011378D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A taking “from the person or in the presence of another” occurs when the money or property is “so within [the victim’s] reach, inspection, observation or control, that [the victim] could if not overcome by violence or prevented by fear, retain his possession of it.” </w:t>
      </w:r>
      <w:proofErr w:type="gramStart"/>
      <w:r w:rsidR="00F62BEB">
        <w:rPr>
          <w:rFonts w:ascii="Times New Roman" w:eastAsia="Arial" w:hAnsi="Times New Roman"/>
          <w:sz w:val="26"/>
          <w:szCs w:val="26"/>
        </w:rPr>
        <w:t xml:space="preserve">“ </w:t>
      </w:r>
      <w:r w:rsidRPr="0037704D">
        <w:rPr>
          <w:rFonts w:ascii="Times New Roman" w:eastAsia="Arial" w:hAnsi="Times New Roman"/>
          <w:i/>
          <w:sz w:val="26"/>
          <w:szCs w:val="26"/>
        </w:rPr>
        <w:t>Id</w:t>
      </w:r>
      <w:proofErr w:type="gramEnd"/>
      <w:r>
        <w:rPr>
          <w:rFonts w:ascii="Times New Roman" w:eastAsia="Arial" w:hAnsi="Times New Roman"/>
          <w:sz w:val="26"/>
          <w:szCs w:val="26"/>
        </w:rPr>
        <w:t>. at 1246.</w:t>
      </w:r>
      <w:bookmarkEnd w:id="0"/>
    </w:p>
    <w:sectPr w:rsidR="00725167" w:rsidRPr="00113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E9E" w:rsidRDefault="00A66E9E" w:rsidP="00A66E9E">
      <w:pPr>
        <w:spacing w:after="0" w:line="240" w:lineRule="auto"/>
      </w:pPr>
      <w:r>
        <w:separator/>
      </w:r>
    </w:p>
  </w:endnote>
  <w:endnote w:type="continuationSeparator" w:id="0">
    <w:p w:rsidR="00A66E9E" w:rsidRDefault="00A66E9E" w:rsidP="00A66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E9E" w:rsidRDefault="00A66E9E" w:rsidP="00A66E9E">
      <w:pPr>
        <w:spacing w:after="0" w:line="240" w:lineRule="auto"/>
      </w:pPr>
      <w:r>
        <w:separator/>
      </w:r>
    </w:p>
  </w:footnote>
  <w:footnote w:type="continuationSeparator" w:id="0">
    <w:p w:rsidR="00A66E9E" w:rsidRDefault="00A66E9E" w:rsidP="00A66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686E"/>
    <w:rsid w:val="0012744C"/>
    <w:rsid w:val="00135397"/>
    <w:rsid w:val="00137BA2"/>
    <w:rsid w:val="00144B24"/>
    <w:rsid w:val="001450C4"/>
    <w:rsid w:val="001536CF"/>
    <w:rsid w:val="00157747"/>
    <w:rsid w:val="00166AB9"/>
    <w:rsid w:val="00194E82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21868"/>
    <w:rsid w:val="00367FCA"/>
    <w:rsid w:val="00372806"/>
    <w:rsid w:val="0037704D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4745"/>
    <w:rsid w:val="009B3EC8"/>
    <w:rsid w:val="009C1E78"/>
    <w:rsid w:val="009E1B73"/>
    <w:rsid w:val="009F5DAD"/>
    <w:rsid w:val="00A355FD"/>
    <w:rsid w:val="00A66E9E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F27B7F"/>
    <w:rsid w:val="00F57477"/>
    <w:rsid w:val="00F62BEB"/>
    <w:rsid w:val="00F64671"/>
    <w:rsid w:val="00F6640E"/>
    <w:rsid w:val="00F7146C"/>
    <w:rsid w:val="00F81AFD"/>
    <w:rsid w:val="00F8667A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9E"/>
  </w:style>
  <w:style w:type="paragraph" w:styleId="Footer">
    <w:name w:val="footer"/>
    <w:basedOn w:val="Normal"/>
    <w:link w:val="FooterChar"/>
    <w:uiPriority w:val="99"/>
    <w:unhideWhenUsed/>
    <w:rsid w:val="00A6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9E"/>
  </w:style>
  <w:style w:type="paragraph" w:styleId="Footer">
    <w:name w:val="footer"/>
    <w:basedOn w:val="Normal"/>
    <w:link w:val="FooterChar"/>
    <w:uiPriority w:val="99"/>
    <w:unhideWhenUsed/>
    <w:rsid w:val="00A66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2014-04-01T13:26:00Z</dcterms:created>
  <dcterms:modified xsi:type="dcterms:W3CDTF">2014-06-17T15:37:00Z</dcterms:modified>
</cp:coreProperties>
</file>