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F36" w:rsidRDefault="00B64F36" w:rsidP="00B64F36">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B64F36" w:rsidRDefault="00B64F36" w:rsidP="00B64F36">
      <w:pPr>
        <w:spacing w:after="0" w:line="240" w:lineRule="auto"/>
        <w:jc w:val="both"/>
        <w:rPr>
          <w:rFonts w:ascii="Times New Roman" w:eastAsia="Arial" w:hAnsi="Times New Roman"/>
          <w:sz w:val="26"/>
          <w:szCs w:val="26"/>
        </w:rPr>
      </w:pPr>
    </w:p>
    <w:p w:rsidR="00B64F36" w:rsidRDefault="00B64F36" w:rsidP="00B64F36">
      <w:pPr>
        <w:spacing w:after="0" w:line="240" w:lineRule="auto"/>
        <w:jc w:val="both"/>
        <w:rPr>
          <w:rFonts w:ascii="Times New Roman" w:eastAsia="Arial" w:hAnsi="Times New Roman"/>
          <w:sz w:val="26"/>
          <w:szCs w:val="26"/>
        </w:rPr>
      </w:pPr>
      <w:r>
        <w:rPr>
          <w:rFonts w:ascii="Times New Roman" w:eastAsia="Arial" w:hAnsi="Times New Roman"/>
          <w:sz w:val="26"/>
          <w:szCs w:val="26"/>
        </w:rPr>
        <w:t>18 U.S.C. § 2119 provides:</w:t>
      </w:r>
    </w:p>
    <w:p w:rsidR="00B64F36" w:rsidRDefault="00B64F36" w:rsidP="00B64F36">
      <w:pPr>
        <w:spacing w:after="0" w:line="240" w:lineRule="auto"/>
        <w:jc w:val="both"/>
        <w:rPr>
          <w:rFonts w:ascii="Times New Roman" w:eastAsia="Arial" w:hAnsi="Times New Roman"/>
          <w:sz w:val="26"/>
          <w:szCs w:val="26"/>
        </w:rPr>
      </w:pPr>
    </w:p>
    <w:p w:rsidR="00B64F36" w:rsidRDefault="00B64F36" w:rsidP="00B64F36">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t>Whoever, with the intent to cause death or serious bodily harm takes a motor vehicle that has been transported, shipped, or received in interstate or foreign commerce from the person or presence of another by force and violence or by intimidation, or attempts to do so, shall [violate this section].</w:t>
      </w:r>
    </w:p>
    <w:p w:rsidR="00B64F36" w:rsidRDefault="00B64F36" w:rsidP="00B64F36">
      <w:pPr>
        <w:spacing w:after="0" w:line="240" w:lineRule="auto"/>
        <w:ind w:right="360"/>
        <w:jc w:val="both"/>
        <w:rPr>
          <w:rFonts w:ascii="Times New Roman" w:eastAsia="Arial" w:hAnsi="Times New Roman"/>
          <w:sz w:val="26"/>
          <w:szCs w:val="26"/>
        </w:rPr>
      </w:pPr>
    </w:p>
    <w:p w:rsidR="00B64F36" w:rsidRDefault="00B64F36" w:rsidP="00B64F36">
      <w:pPr>
        <w:spacing w:after="0" w:line="240" w:lineRule="auto"/>
        <w:jc w:val="both"/>
        <w:rPr>
          <w:rFonts w:ascii="Times New Roman" w:eastAsia="Arial" w:hAnsi="Times New Roman"/>
          <w:sz w:val="26"/>
          <w:szCs w:val="26"/>
        </w:rPr>
      </w:pPr>
      <w:r>
        <w:rPr>
          <w:rFonts w:ascii="Times New Roman" w:eastAsia="Arial" w:hAnsi="Times New Roman"/>
          <w:sz w:val="26"/>
          <w:szCs w:val="26"/>
        </w:rPr>
        <w:t>Maximum Penalty varies depending on injury to victim.</w:t>
      </w:r>
    </w:p>
    <w:p w:rsidR="00B64F36" w:rsidRDefault="00B64F36" w:rsidP="00B64F36">
      <w:pPr>
        <w:spacing w:after="0" w:line="240" w:lineRule="auto"/>
        <w:jc w:val="both"/>
        <w:rPr>
          <w:rFonts w:ascii="Times New Roman" w:eastAsia="Arial" w:hAnsi="Times New Roman"/>
          <w:sz w:val="26"/>
          <w:szCs w:val="26"/>
        </w:rPr>
      </w:pPr>
    </w:p>
    <w:p w:rsidR="00B64F36" w:rsidRDefault="00B64F36" w:rsidP="00B64F36">
      <w:pPr>
        <w:spacing w:after="0" w:line="240" w:lineRule="auto"/>
        <w:ind w:left="1152" w:hanging="432"/>
        <w:jc w:val="both"/>
        <w:rPr>
          <w:rFonts w:ascii="Times New Roman" w:eastAsia="Arial" w:hAnsi="Times New Roman"/>
          <w:sz w:val="26"/>
          <w:szCs w:val="26"/>
        </w:rPr>
      </w:pP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1 </w:instrText>
      </w:r>
      <w:r>
        <w:rPr>
          <w:rFonts w:ascii="Times New Roman" w:eastAsia="Arial" w:hAnsi="Times New Roman"/>
          <w:sz w:val="26"/>
          <w:szCs w:val="26"/>
        </w:rPr>
        <w:fldChar w:fldCharType="end"/>
      </w:r>
      <w:r>
        <w:rPr>
          <w:rFonts w:ascii="Times New Roman" w:eastAsia="Arial" w:hAnsi="Times New Roman"/>
          <w:sz w:val="26"/>
          <w:szCs w:val="26"/>
        </w:rPr>
        <w:t xml:space="preserve"> </w:t>
      </w:r>
      <w:proofErr w:type="gramStart"/>
      <w:r>
        <w:rPr>
          <w:rFonts w:ascii="Times New Roman" w:eastAsia="Arial" w:hAnsi="Times New Roman"/>
          <w:sz w:val="26"/>
          <w:szCs w:val="26"/>
        </w:rPr>
        <w:t>When no serious bodily injury or death results, the maximum penalty is imprisonment for not more than 15 years and applicable fine.</w:t>
      </w:r>
      <w:proofErr w:type="gramEnd"/>
    </w:p>
    <w:p w:rsidR="00B64F36" w:rsidRDefault="00B64F36" w:rsidP="00B64F36">
      <w:pPr>
        <w:spacing w:after="0" w:line="240" w:lineRule="auto"/>
        <w:ind w:left="1080" w:hanging="360"/>
        <w:jc w:val="both"/>
        <w:rPr>
          <w:rFonts w:ascii="Times New Roman" w:eastAsia="Arial" w:hAnsi="Times New Roman"/>
          <w:sz w:val="26"/>
          <w:szCs w:val="26"/>
        </w:rPr>
      </w:pPr>
    </w:p>
    <w:p w:rsidR="00B64F36" w:rsidRDefault="00B64F36" w:rsidP="00B64F36">
      <w:pPr>
        <w:spacing w:after="0" w:line="240" w:lineRule="auto"/>
        <w:ind w:left="1109" w:hanging="389"/>
        <w:jc w:val="both"/>
        <w:rPr>
          <w:rFonts w:ascii="Times New Roman" w:eastAsia="Arial" w:hAnsi="Times New Roman"/>
          <w:sz w:val="26"/>
          <w:szCs w:val="26"/>
        </w:rPr>
      </w:pP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2 </w:instrText>
      </w:r>
      <w:r>
        <w:rPr>
          <w:rFonts w:ascii="Times New Roman" w:eastAsia="Arial" w:hAnsi="Times New Roman"/>
          <w:sz w:val="26"/>
          <w:szCs w:val="26"/>
        </w:rPr>
        <w:fldChar w:fldCharType="end"/>
      </w:r>
      <w:r>
        <w:rPr>
          <w:rFonts w:ascii="Times New Roman" w:eastAsia="Arial" w:hAnsi="Times New Roman"/>
          <w:sz w:val="26"/>
          <w:szCs w:val="26"/>
        </w:rPr>
        <w:t xml:space="preserve"> </w:t>
      </w:r>
      <w:proofErr w:type="gramStart"/>
      <w:r>
        <w:rPr>
          <w:rFonts w:ascii="Times New Roman" w:eastAsia="Arial" w:hAnsi="Times New Roman"/>
          <w:sz w:val="26"/>
          <w:szCs w:val="26"/>
        </w:rPr>
        <w:t>When serious bodily injury results, the maximum penalty is imprisonment for not more than 25 years and applicable fine.</w:t>
      </w:r>
      <w:proofErr w:type="gramEnd"/>
    </w:p>
    <w:p w:rsidR="00B64F36" w:rsidRDefault="00B64F36" w:rsidP="00B64F36">
      <w:pPr>
        <w:spacing w:after="0" w:line="240" w:lineRule="auto"/>
        <w:ind w:left="1080" w:hanging="360"/>
        <w:jc w:val="both"/>
        <w:rPr>
          <w:rFonts w:ascii="Times New Roman" w:eastAsia="Arial" w:hAnsi="Times New Roman"/>
          <w:sz w:val="26"/>
          <w:szCs w:val="26"/>
        </w:rPr>
      </w:pPr>
    </w:p>
    <w:p w:rsidR="00B64F36" w:rsidRDefault="00B64F36" w:rsidP="00B64F36">
      <w:pPr>
        <w:spacing w:after="0" w:line="240" w:lineRule="auto"/>
        <w:ind w:left="1080" w:hanging="360"/>
        <w:jc w:val="both"/>
        <w:rPr>
          <w:rFonts w:ascii="Times New Roman" w:eastAsia="Arial" w:hAnsi="Times New Roman"/>
          <w:sz w:val="26"/>
          <w:szCs w:val="26"/>
        </w:rPr>
      </w:pP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3 </w:instrText>
      </w:r>
      <w:r>
        <w:rPr>
          <w:rFonts w:ascii="Times New Roman" w:eastAsia="Arial" w:hAnsi="Times New Roman"/>
          <w:sz w:val="26"/>
          <w:szCs w:val="26"/>
        </w:rPr>
        <w:fldChar w:fldCharType="end"/>
      </w:r>
      <w:r>
        <w:rPr>
          <w:rFonts w:ascii="Times New Roman" w:eastAsia="Arial" w:hAnsi="Times New Roman"/>
          <w:sz w:val="26"/>
          <w:szCs w:val="26"/>
        </w:rPr>
        <w:t xml:space="preserve"> </w:t>
      </w:r>
      <w:proofErr w:type="gramStart"/>
      <w:r>
        <w:rPr>
          <w:rFonts w:ascii="Times New Roman" w:eastAsia="Arial" w:hAnsi="Times New Roman"/>
          <w:sz w:val="26"/>
          <w:szCs w:val="26"/>
        </w:rPr>
        <w:t>When death results, the maximum penalty is death and applicable fine.</w:t>
      </w:r>
      <w:proofErr w:type="gramEnd"/>
    </w:p>
    <w:p w:rsidR="00B64F36" w:rsidRDefault="00B64F36" w:rsidP="00B64F36">
      <w:pPr>
        <w:spacing w:after="0" w:line="240" w:lineRule="auto"/>
        <w:jc w:val="both"/>
        <w:rPr>
          <w:rFonts w:ascii="Times New Roman" w:eastAsia="Arial" w:hAnsi="Times New Roman"/>
          <w:sz w:val="26"/>
          <w:szCs w:val="26"/>
        </w:rPr>
      </w:pPr>
    </w:p>
    <w:p w:rsidR="00B64F36" w:rsidRDefault="00B64F36" w:rsidP="00B64F36">
      <w:pPr>
        <w:spacing w:after="0" w:line="240" w:lineRule="auto"/>
        <w:jc w:val="both"/>
        <w:rPr>
          <w:rFonts w:ascii="Times New Roman" w:eastAsia="Arial" w:hAnsi="Times New Roman"/>
          <w:sz w:val="26"/>
          <w:szCs w:val="26"/>
        </w:rPr>
      </w:pPr>
      <w:r>
        <w:rPr>
          <w:rFonts w:ascii="Times New Roman" w:eastAsia="Arial" w:hAnsi="Times New Roman"/>
          <w:sz w:val="26"/>
          <w:szCs w:val="26"/>
        </w:rPr>
        <w:t>In the context of a violation of 18 U.S.C. § 113</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3 </w:instrText>
      </w:r>
      <w:r>
        <w:rPr>
          <w:rFonts w:ascii="Times New Roman" w:eastAsia="Arial" w:hAnsi="Times New Roman"/>
          <w:sz w:val="26"/>
          <w:szCs w:val="26"/>
        </w:rPr>
        <w:fldChar w:fldCharType="end"/>
      </w:r>
      <w:r>
        <w:rPr>
          <w:rFonts w:ascii="Times New Roman" w:eastAsia="Arial" w:hAnsi="Times New Roman"/>
          <w:sz w:val="26"/>
          <w:szCs w:val="26"/>
        </w:rPr>
        <w:t xml:space="preserve"> - - assault with a dangerous weapon with intent to do bodily harm - - “[t]he intent of the defendant ‘is not to be measured by the secret motive of the actor, or some undisclosed purpose merely to frighten, not to hurt,’ but rather ‘is to be judged objectively from the visible conduct of the actor and what one in the position of the victim might reasonably conclude.’” </w:t>
      </w:r>
      <w:r w:rsidRPr="00297ADA">
        <w:rPr>
          <w:rFonts w:ascii="Times New Roman" w:eastAsia="Arial" w:hAnsi="Times New Roman"/>
          <w:i/>
          <w:sz w:val="26"/>
          <w:szCs w:val="26"/>
        </w:rPr>
        <w:t xml:space="preserve">United States v. </w:t>
      </w:r>
      <w:proofErr w:type="spellStart"/>
      <w:r w:rsidRPr="00297ADA">
        <w:rPr>
          <w:rFonts w:ascii="Times New Roman" w:eastAsia="Arial" w:hAnsi="Times New Roman"/>
          <w:i/>
          <w:sz w:val="26"/>
          <w:szCs w:val="26"/>
        </w:rPr>
        <w:t>Guilbert</w:t>
      </w:r>
      <w:proofErr w:type="spellEnd"/>
      <w:r>
        <w:rPr>
          <w:rFonts w:ascii="Times New Roman" w:eastAsia="Arial" w:hAnsi="Times New Roman"/>
          <w:sz w:val="26"/>
          <w:szCs w:val="26"/>
        </w:rPr>
        <w:t>, 692 F.2d 1340, 1344 (11</w:t>
      </w:r>
      <w:r w:rsidRPr="00B26566">
        <w:rPr>
          <w:rFonts w:ascii="Times New Roman" w:eastAsia="Arial" w:hAnsi="Times New Roman"/>
          <w:sz w:val="26"/>
          <w:szCs w:val="26"/>
          <w:vertAlign w:val="superscript"/>
        </w:rPr>
        <w:t>th</w:t>
      </w:r>
      <w:r>
        <w:rPr>
          <w:rFonts w:ascii="Times New Roman" w:eastAsia="Arial" w:hAnsi="Times New Roman"/>
          <w:sz w:val="26"/>
          <w:szCs w:val="26"/>
        </w:rPr>
        <w:t xml:space="preserve"> Cir. 1982), </w:t>
      </w:r>
      <w:r w:rsidRPr="00297ADA">
        <w:rPr>
          <w:rFonts w:ascii="Times New Roman" w:eastAsia="Arial" w:hAnsi="Times New Roman"/>
          <w:i/>
          <w:sz w:val="26"/>
          <w:szCs w:val="26"/>
        </w:rPr>
        <w:t>cert. denied</w:t>
      </w:r>
      <w:r>
        <w:rPr>
          <w:rFonts w:ascii="Times New Roman" w:eastAsia="Arial" w:hAnsi="Times New Roman"/>
          <w:sz w:val="26"/>
          <w:szCs w:val="26"/>
        </w:rPr>
        <w:t xml:space="preserve">, 103 S. Ct. 1260 (1983) (quoting </w:t>
      </w:r>
      <w:r w:rsidRPr="00297ADA">
        <w:rPr>
          <w:rFonts w:ascii="Times New Roman" w:eastAsia="Arial" w:hAnsi="Times New Roman"/>
          <w:i/>
          <w:sz w:val="26"/>
          <w:szCs w:val="26"/>
        </w:rPr>
        <w:t>Shaffer v. United States</w:t>
      </w:r>
      <w:r>
        <w:rPr>
          <w:rFonts w:ascii="Times New Roman" w:eastAsia="Arial" w:hAnsi="Times New Roman"/>
          <w:sz w:val="26"/>
          <w:szCs w:val="26"/>
        </w:rPr>
        <w:t>, 308 F.2d 654, 655 (5</w:t>
      </w:r>
      <w:r w:rsidRPr="00B26566">
        <w:rPr>
          <w:rFonts w:ascii="Times New Roman" w:eastAsia="Arial" w:hAnsi="Times New Roman"/>
          <w:sz w:val="26"/>
          <w:szCs w:val="26"/>
          <w:vertAlign w:val="superscript"/>
        </w:rPr>
        <w:t>th</w:t>
      </w:r>
      <w:r>
        <w:rPr>
          <w:rFonts w:ascii="Times New Roman" w:eastAsia="Arial" w:hAnsi="Times New Roman"/>
          <w:sz w:val="26"/>
          <w:szCs w:val="26"/>
        </w:rPr>
        <w:t xml:space="preserve"> Cir. 1962) (per </w:t>
      </w:r>
      <w:proofErr w:type="spellStart"/>
      <w:r>
        <w:rPr>
          <w:rFonts w:ascii="Times New Roman" w:eastAsia="Arial" w:hAnsi="Times New Roman"/>
          <w:sz w:val="26"/>
          <w:szCs w:val="26"/>
        </w:rPr>
        <w:t>curiam</w:t>
      </w:r>
      <w:proofErr w:type="spellEnd"/>
      <w:r>
        <w:rPr>
          <w:rFonts w:ascii="Times New Roman" w:eastAsia="Arial" w:hAnsi="Times New Roman"/>
          <w:sz w:val="26"/>
          <w:szCs w:val="26"/>
        </w:rPr>
        <w:t xml:space="preserve">)). </w:t>
      </w:r>
      <w:r w:rsidRPr="00297ADA">
        <w:rPr>
          <w:rFonts w:ascii="Times New Roman" w:eastAsia="Arial" w:hAnsi="Times New Roman"/>
          <w:i/>
          <w:sz w:val="26"/>
          <w:szCs w:val="26"/>
        </w:rPr>
        <w:t>See United States v. Gibson</w:t>
      </w:r>
      <w:r>
        <w:rPr>
          <w:rFonts w:ascii="Times New Roman" w:eastAsia="Arial" w:hAnsi="Times New Roman"/>
          <w:sz w:val="26"/>
          <w:szCs w:val="26"/>
        </w:rPr>
        <w:t>, 896 F.2d 206 (6</w:t>
      </w:r>
      <w:r w:rsidRPr="00B26566">
        <w:rPr>
          <w:rFonts w:ascii="Times New Roman" w:eastAsia="Arial" w:hAnsi="Times New Roman"/>
          <w:sz w:val="26"/>
          <w:szCs w:val="26"/>
          <w:vertAlign w:val="superscript"/>
        </w:rPr>
        <w:t>th</w:t>
      </w:r>
      <w:r>
        <w:rPr>
          <w:rFonts w:ascii="Times New Roman" w:eastAsia="Arial" w:hAnsi="Times New Roman"/>
          <w:sz w:val="26"/>
          <w:szCs w:val="26"/>
        </w:rPr>
        <w:t xml:space="preserve"> Cir. 1990) (citing </w:t>
      </w:r>
      <w:r w:rsidRPr="00297ADA">
        <w:rPr>
          <w:rFonts w:ascii="Times New Roman" w:eastAsia="Arial" w:hAnsi="Times New Roman"/>
          <w:i/>
          <w:sz w:val="26"/>
          <w:szCs w:val="26"/>
        </w:rPr>
        <w:t xml:space="preserve">United States v. </w:t>
      </w:r>
      <w:proofErr w:type="spellStart"/>
      <w:r w:rsidRPr="00297ADA">
        <w:rPr>
          <w:rFonts w:ascii="Times New Roman" w:eastAsia="Arial" w:hAnsi="Times New Roman"/>
          <w:i/>
          <w:sz w:val="26"/>
          <w:szCs w:val="26"/>
        </w:rPr>
        <w:t>Guilbert</w:t>
      </w:r>
      <w:proofErr w:type="spellEnd"/>
      <w:r>
        <w:rPr>
          <w:rFonts w:ascii="Times New Roman" w:eastAsia="Arial" w:hAnsi="Times New Roman"/>
          <w:sz w:val="26"/>
          <w:szCs w:val="26"/>
        </w:rPr>
        <w:t xml:space="preserve"> and explaining that “[a] defendant’s state of mind is a question of fact, often determined by objective evaluation of all the surrounding facts and circumstances”).</w:t>
      </w:r>
    </w:p>
    <w:p w:rsidR="00B64F36" w:rsidRDefault="00B64F36" w:rsidP="00B64F36">
      <w:pPr>
        <w:spacing w:after="0" w:line="240" w:lineRule="auto"/>
        <w:jc w:val="both"/>
        <w:rPr>
          <w:rFonts w:ascii="Times New Roman" w:eastAsia="Arial" w:hAnsi="Times New Roman"/>
          <w:sz w:val="26"/>
          <w:szCs w:val="26"/>
        </w:rPr>
      </w:pPr>
    </w:p>
    <w:p w:rsidR="00B64F36" w:rsidRDefault="00B64F36" w:rsidP="00B64F36">
      <w:pPr>
        <w:spacing w:after="0" w:line="240" w:lineRule="auto"/>
        <w:jc w:val="both"/>
        <w:rPr>
          <w:rFonts w:ascii="Times New Roman" w:eastAsia="Arial" w:hAnsi="Times New Roman"/>
          <w:sz w:val="26"/>
          <w:szCs w:val="26"/>
        </w:rPr>
      </w:pPr>
      <w:r>
        <w:rPr>
          <w:rFonts w:ascii="Times New Roman" w:eastAsia="Arial" w:hAnsi="Times New Roman"/>
          <w:sz w:val="26"/>
          <w:szCs w:val="26"/>
        </w:rPr>
        <w:t>If the victim turns over the car without the Defendant attempting to inflict (or actually inflicting</w:t>
      </w:r>
      <w:r w:rsidR="001D050D">
        <w:rPr>
          <w:rFonts w:ascii="Times New Roman" w:eastAsia="Arial" w:hAnsi="Times New Roman"/>
          <w:sz w:val="26"/>
          <w:szCs w:val="26"/>
        </w:rPr>
        <w:t>)</w:t>
      </w:r>
      <w:r>
        <w:rPr>
          <w:rFonts w:ascii="Times New Roman" w:eastAsia="Arial" w:hAnsi="Times New Roman"/>
          <w:sz w:val="26"/>
          <w:szCs w:val="26"/>
        </w:rPr>
        <w:t xml:space="preserve"> serious bodily harm, the “intent to cause…” requirement is satisfied if the Government proves that the Defendant would have attempted to harm or kill the victim had the victim offered resistance. </w:t>
      </w:r>
      <w:r w:rsidRPr="00297ADA">
        <w:rPr>
          <w:rFonts w:ascii="Times New Roman" w:eastAsia="Arial" w:hAnsi="Times New Roman"/>
          <w:i/>
          <w:sz w:val="26"/>
          <w:szCs w:val="26"/>
        </w:rPr>
        <w:t>Holloway v. United States</w:t>
      </w:r>
      <w:r>
        <w:rPr>
          <w:rFonts w:ascii="Times New Roman" w:eastAsia="Arial" w:hAnsi="Times New Roman"/>
          <w:sz w:val="26"/>
          <w:szCs w:val="26"/>
        </w:rPr>
        <w:t xml:space="preserve">, 526 U.S. 1, 11-12, 119 S. Ct. 966 (1999); </w:t>
      </w:r>
      <w:r w:rsidRPr="00297ADA">
        <w:rPr>
          <w:rFonts w:ascii="Times New Roman" w:eastAsia="Arial" w:hAnsi="Times New Roman"/>
          <w:i/>
          <w:sz w:val="26"/>
          <w:szCs w:val="26"/>
        </w:rPr>
        <w:t>accord United States v. Douglas</w:t>
      </w:r>
      <w:r>
        <w:rPr>
          <w:rFonts w:ascii="Times New Roman" w:eastAsia="Arial" w:hAnsi="Times New Roman"/>
          <w:sz w:val="26"/>
          <w:szCs w:val="26"/>
        </w:rPr>
        <w:t>, 489 F.3d 1117, 1127 (11</w:t>
      </w:r>
      <w:r w:rsidRPr="00B4393C">
        <w:rPr>
          <w:rFonts w:ascii="Times New Roman" w:eastAsia="Arial" w:hAnsi="Times New Roman"/>
          <w:sz w:val="26"/>
          <w:szCs w:val="26"/>
          <w:vertAlign w:val="superscript"/>
        </w:rPr>
        <w:t>th</w:t>
      </w:r>
      <w:r>
        <w:rPr>
          <w:rFonts w:ascii="Times New Roman" w:eastAsia="Arial" w:hAnsi="Times New Roman"/>
          <w:sz w:val="26"/>
          <w:szCs w:val="26"/>
        </w:rPr>
        <w:t xml:space="preserve"> Cir. 2007).</w:t>
      </w:r>
    </w:p>
    <w:p w:rsidR="00B64F36" w:rsidRDefault="00B64F36" w:rsidP="00B64F36">
      <w:pPr>
        <w:spacing w:after="0" w:line="240" w:lineRule="auto"/>
        <w:jc w:val="both"/>
        <w:rPr>
          <w:rFonts w:ascii="Times New Roman" w:eastAsia="Arial" w:hAnsi="Times New Roman"/>
          <w:sz w:val="26"/>
          <w:szCs w:val="26"/>
        </w:rPr>
      </w:pPr>
    </w:p>
    <w:p w:rsidR="00B64F36" w:rsidRDefault="00B64F36" w:rsidP="00B64F36">
      <w:pPr>
        <w:spacing w:after="0" w:line="240" w:lineRule="auto"/>
        <w:jc w:val="both"/>
        <w:rPr>
          <w:rFonts w:ascii="Times New Roman" w:eastAsia="Arial" w:hAnsi="Times New Roman"/>
          <w:sz w:val="26"/>
          <w:szCs w:val="26"/>
        </w:rPr>
      </w:pPr>
      <w:proofErr w:type="gramStart"/>
      <w:r w:rsidRPr="00297ADA">
        <w:rPr>
          <w:rFonts w:ascii="Times New Roman" w:eastAsia="Arial" w:hAnsi="Times New Roman"/>
          <w:i/>
          <w:sz w:val="26"/>
          <w:szCs w:val="26"/>
        </w:rPr>
        <w:t>United States v. Lumley</w:t>
      </w:r>
      <w:r>
        <w:rPr>
          <w:rFonts w:ascii="Times New Roman" w:eastAsia="Arial" w:hAnsi="Times New Roman"/>
          <w:sz w:val="26"/>
          <w:szCs w:val="26"/>
        </w:rPr>
        <w:t>, 135 F.3d 758 (11</w:t>
      </w:r>
      <w:r w:rsidRPr="00B4393C">
        <w:rPr>
          <w:rFonts w:ascii="Times New Roman" w:eastAsia="Arial" w:hAnsi="Times New Roman"/>
          <w:sz w:val="26"/>
          <w:szCs w:val="26"/>
          <w:vertAlign w:val="superscript"/>
        </w:rPr>
        <w:t>th</w:t>
      </w:r>
      <w:r>
        <w:rPr>
          <w:rFonts w:ascii="Times New Roman" w:eastAsia="Arial" w:hAnsi="Times New Roman"/>
          <w:sz w:val="26"/>
          <w:szCs w:val="26"/>
        </w:rPr>
        <w:t xml:space="preserve"> Cir. 1998).</w:t>
      </w:r>
      <w:proofErr w:type="gramEnd"/>
      <w:r>
        <w:rPr>
          <w:rFonts w:ascii="Times New Roman" w:eastAsia="Arial" w:hAnsi="Times New Roman"/>
          <w:sz w:val="26"/>
          <w:szCs w:val="26"/>
        </w:rPr>
        <w:t xml:space="preserve"> “We decline to interpret section 2119 to require a perpetrator to have ‘the intent to cause death or serious bodily harm’ only as to the person from whom the perpetrator takes the motor vehicle.” (The Defendant shot at an armed guard while fleeing a robbery, then ordered a victim out of her truck and drove off in the vehicle.)</w:t>
      </w:r>
    </w:p>
    <w:p w:rsidR="00B64F36" w:rsidRDefault="00B64F36" w:rsidP="00B64F36">
      <w:pPr>
        <w:spacing w:after="0" w:line="240" w:lineRule="auto"/>
        <w:jc w:val="both"/>
        <w:rPr>
          <w:rFonts w:ascii="Times New Roman" w:eastAsia="Arial" w:hAnsi="Times New Roman"/>
          <w:sz w:val="26"/>
          <w:szCs w:val="26"/>
        </w:rPr>
      </w:pPr>
    </w:p>
    <w:p w:rsidR="00B64F36" w:rsidRDefault="00B64F36" w:rsidP="00B64F36">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The Fifth element should be included under the principle of </w:t>
      </w:r>
      <w:proofErr w:type="spellStart"/>
      <w:r w:rsidRPr="00297ADA">
        <w:rPr>
          <w:rFonts w:ascii="Times New Roman" w:eastAsia="Arial" w:hAnsi="Times New Roman"/>
          <w:i/>
          <w:sz w:val="26"/>
          <w:szCs w:val="26"/>
        </w:rPr>
        <w:t>Apprendi</w:t>
      </w:r>
      <w:proofErr w:type="spellEnd"/>
      <w:r>
        <w:rPr>
          <w:rFonts w:ascii="Times New Roman" w:eastAsia="Arial" w:hAnsi="Times New Roman"/>
          <w:sz w:val="26"/>
          <w:szCs w:val="26"/>
        </w:rPr>
        <w:t xml:space="preserve"> if the indictment </w:t>
      </w:r>
      <w:r>
        <w:rPr>
          <w:rFonts w:ascii="Times New Roman" w:eastAsia="Arial" w:hAnsi="Times New Roman"/>
          <w:sz w:val="26"/>
          <w:szCs w:val="26"/>
        </w:rPr>
        <w:lastRenderedPageBreak/>
        <w:t>triggers the enhanced maximum sentences provided by the statute in cases resulting in serious bodily injury or death.</w:t>
      </w:r>
    </w:p>
    <w:p w:rsidR="00B64F36" w:rsidRDefault="00B64F36" w:rsidP="00B64F36">
      <w:pPr>
        <w:spacing w:after="0" w:line="240" w:lineRule="auto"/>
        <w:jc w:val="both"/>
        <w:rPr>
          <w:rFonts w:ascii="Times New Roman" w:eastAsia="Arial" w:hAnsi="Times New Roman"/>
          <w:sz w:val="26"/>
          <w:szCs w:val="26"/>
        </w:rPr>
      </w:pPr>
    </w:p>
    <w:p w:rsidR="00725167" w:rsidRPr="00B64F36" w:rsidRDefault="00B64F36" w:rsidP="00B64F36">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The court may give an instruction on the lesser included offense of simple carjacking if the evidence supports such an instruction, but such an instruction is not appropriate if the defendant causes serious bodily harm to the victim and the question for the jury is therefore whether there is a nexus between the force used and the taking of the car. </w:t>
      </w:r>
      <w:proofErr w:type="gramStart"/>
      <w:r w:rsidRPr="00297ADA">
        <w:rPr>
          <w:rFonts w:ascii="Times New Roman" w:eastAsia="Arial" w:hAnsi="Times New Roman"/>
          <w:i/>
          <w:sz w:val="26"/>
          <w:szCs w:val="26"/>
        </w:rPr>
        <w:t xml:space="preserve">United States v. </w:t>
      </w:r>
      <w:proofErr w:type="spellStart"/>
      <w:r w:rsidRPr="00297ADA">
        <w:rPr>
          <w:rFonts w:ascii="Times New Roman" w:eastAsia="Arial" w:hAnsi="Times New Roman"/>
          <w:i/>
          <w:sz w:val="26"/>
          <w:szCs w:val="26"/>
        </w:rPr>
        <w:t>LeCroy</w:t>
      </w:r>
      <w:proofErr w:type="spellEnd"/>
      <w:r>
        <w:rPr>
          <w:rFonts w:ascii="Times New Roman" w:eastAsia="Arial" w:hAnsi="Times New Roman"/>
          <w:sz w:val="26"/>
          <w:szCs w:val="26"/>
        </w:rPr>
        <w:t>, 441 F.3d 914, 923 (11</w:t>
      </w:r>
      <w:r w:rsidRPr="00B4393C">
        <w:rPr>
          <w:rFonts w:ascii="Times New Roman" w:eastAsia="Arial" w:hAnsi="Times New Roman"/>
          <w:sz w:val="26"/>
          <w:szCs w:val="26"/>
          <w:vertAlign w:val="superscript"/>
        </w:rPr>
        <w:t>th</w:t>
      </w:r>
      <w:r>
        <w:rPr>
          <w:rFonts w:ascii="Times New Roman" w:eastAsia="Arial" w:hAnsi="Times New Roman"/>
          <w:sz w:val="26"/>
          <w:szCs w:val="26"/>
        </w:rPr>
        <w:t xml:space="preserve"> Cir. 2006).</w:t>
      </w:r>
      <w:bookmarkEnd w:id="0"/>
      <w:proofErr w:type="gramEnd"/>
    </w:p>
    <w:sectPr w:rsidR="00725167" w:rsidRPr="00B64F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3E49" w:rsidRDefault="00613E49" w:rsidP="00613E49">
      <w:pPr>
        <w:spacing w:after="0" w:line="240" w:lineRule="auto"/>
      </w:pPr>
      <w:r>
        <w:separator/>
      </w:r>
    </w:p>
  </w:endnote>
  <w:endnote w:type="continuationSeparator" w:id="0">
    <w:p w:rsidR="00613E49" w:rsidRDefault="00613E49" w:rsidP="00613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3E49" w:rsidRDefault="00613E49" w:rsidP="00613E49">
      <w:pPr>
        <w:spacing w:after="0" w:line="240" w:lineRule="auto"/>
      </w:pPr>
      <w:r>
        <w:separator/>
      </w:r>
    </w:p>
  </w:footnote>
  <w:footnote w:type="continuationSeparator" w:id="0">
    <w:p w:rsidR="00613E49" w:rsidRDefault="00613E49" w:rsidP="00613E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01A23"/>
    <w:rsid w:val="00014B03"/>
    <w:rsid w:val="000161B0"/>
    <w:rsid w:val="0002352A"/>
    <w:rsid w:val="000256FD"/>
    <w:rsid w:val="0003583F"/>
    <w:rsid w:val="00042055"/>
    <w:rsid w:val="0005723A"/>
    <w:rsid w:val="0006716B"/>
    <w:rsid w:val="00087D55"/>
    <w:rsid w:val="00091548"/>
    <w:rsid w:val="00097C62"/>
    <w:rsid w:val="000A7260"/>
    <w:rsid w:val="000B303C"/>
    <w:rsid w:val="000C1BFC"/>
    <w:rsid w:val="000C32C1"/>
    <w:rsid w:val="000C3F4B"/>
    <w:rsid w:val="000D5591"/>
    <w:rsid w:val="00110446"/>
    <w:rsid w:val="0011378D"/>
    <w:rsid w:val="001217D5"/>
    <w:rsid w:val="0012744C"/>
    <w:rsid w:val="00135397"/>
    <w:rsid w:val="00137BA2"/>
    <w:rsid w:val="00144B24"/>
    <w:rsid w:val="001450C4"/>
    <w:rsid w:val="001536CF"/>
    <w:rsid w:val="00157747"/>
    <w:rsid w:val="00166AB9"/>
    <w:rsid w:val="00194E82"/>
    <w:rsid w:val="001D050D"/>
    <w:rsid w:val="001D5FF6"/>
    <w:rsid w:val="001E3479"/>
    <w:rsid w:val="001E4EF8"/>
    <w:rsid w:val="001E5B53"/>
    <w:rsid w:val="001F7640"/>
    <w:rsid w:val="002077C3"/>
    <w:rsid w:val="002161E7"/>
    <w:rsid w:val="002329BF"/>
    <w:rsid w:val="00233997"/>
    <w:rsid w:val="00236275"/>
    <w:rsid w:val="00245EF2"/>
    <w:rsid w:val="002604B9"/>
    <w:rsid w:val="00290544"/>
    <w:rsid w:val="00297ADA"/>
    <w:rsid w:val="002D2202"/>
    <w:rsid w:val="003067A0"/>
    <w:rsid w:val="00314335"/>
    <w:rsid w:val="00321868"/>
    <w:rsid w:val="00367FCA"/>
    <w:rsid w:val="00372806"/>
    <w:rsid w:val="003A75E9"/>
    <w:rsid w:val="003B0729"/>
    <w:rsid w:val="003B09A8"/>
    <w:rsid w:val="003C2BF8"/>
    <w:rsid w:val="003D6207"/>
    <w:rsid w:val="00406A43"/>
    <w:rsid w:val="00431B02"/>
    <w:rsid w:val="00465F35"/>
    <w:rsid w:val="00483B81"/>
    <w:rsid w:val="004A1AAC"/>
    <w:rsid w:val="004A354F"/>
    <w:rsid w:val="004C148A"/>
    <w:rsid w:val="004C531E"/>
    <w:rsid w:val="004D06A2"/>
    <w:rsid w:val="00503A01"/>
    <w:rsid w:val="00511CE4"/>
    <w:rsid w:val="00543EBC"/>
    <w:rsid w:val="0056064A"/>
    <w:rsid w:val="00565EF7"/>
    <w:rsid w:val="00586722"/>
    <w:rsid w:val="005B45D9"/>
    <w:rsid w:val="005C4DB9"/>
    <w:rsid w:val="005F50E3"/>
    <w:rsid w:val="00613E49"/>
    <w:rsid w:val="00615301"/>
    <w:rsid w:val="0061645E"/>
    <w:rsid w:val="006179FB"/>
    <w:rsid w:val="00632C46"/>
    <w:rsid w:val="00633618"/>
    <w:rsid w:val="00636B96"/>
    <w:rsid w:val="006B1FC0"/>
    <w:rsid w:val="006C204A"/>
    <w:rsid w:val="00725167"/>
    <w:rsid w:val="00780FDD"/>
    <w:rsid w:val="00783A2A"/>
    <w:rsid w:val="007C4B9C"/>
    <w:rsid w:val="007F2C07"/>
    <w:rsid w:val="0080418B"/>
    <w:rsid w:val="00804614"/>
    <w:rsid w:val="0081516C"/>
    <w:rsid w:val="0081575C"/>
    <w:rsid w:val="00824AA2"/>
    <w:rsid w:val="00831238"/>
    <w:rsid w:val="00841F17"/>
    <w:rsid w:val="008A01B6"/>
    <w:rsid w:val="008A442C"/>
    <w:rsid w:val="008B149D"/>
    <w:rsid w:val="008B3742"/>
    <w:rsid w:val="008B4118"/>
    <w:rsid w:val="008C025F"/>
    <w:rsid w:val="008C1CC7"/>
    <w:rsid w:val="008D77A9"/>
    <w:rsid w:val="008E0F69"/>
    <w:rsid w:val="008E221D"/>
    <w:rsid w:val="008E4BA2"/>
    <w:rsid w:val="008E7C9B"/>
    <w:rsid w:val="00912D2D"/>
    <w:rsid w:val="009458BA"/>
    <w:rsid w:val="009745AC"/>
    <w:rsid w:val="009A4745"/>
    <w:rsid w:val="009B3EC8"/>
    <w:rsid w:val="009C1E78"/>
    <w:rsid w:val="009E1B73"/>
    <w:rsid w:val="009F5DAD"/>
    <w:rsid w:val="00A355FD"/>
    <w:rsid w:val="00A66EA6"/>
    <w:rsid w:val="00A746F3"/>
    <w:rsid w:val="00A82412"/>
    <w:rsid w:val="00AA01A6"/>
    <w:rsid w:val="00AA4174"/>
    <w:rsid w:val="00AC24E2"/>
    <w:rsid w:val="00AE0F43"/>
    <w:rsid w:val="00AE20D4"/>
    <w:rsid w:val="00AF2C77"/>
    <w:rsid w:val="00B111CD"/>
    <w:rsid w:val="00B11304"/>
    <w:rsid w:val="00B55CBA"/>
    <w:rsid w:val="00B64F36"/>
    <w:rsid w:val="00B8093D"/>
    <w:rsid w:val="00B83F0B"/>
    <w:rsid w:val="00B85D99"/>
    <w:rsid w:val="00B930F5"/>
    <w:rsid w:val="00BA1F2B"/>
    <w:rsid w:val="00BC6D90"/>
    <w:rsid w:val="00BD01A4"/>
    <w:rsid w:val="00BE616A"/>
    <w:rsid w:val="00BE645C"/>
    <w:rsid w:val="00C1091D"/>
    <w:rsid w:val="00C6290E"/>
    <w:rsid w:val="00C83E88"/>
    <w:rsid w:val="00CA3187"/>
    <w:rsid w:val="00CB4D2A"/>
    <w:rsid w:val="00CC4195"/>
    <w:rsid w:val="00CC4FBE"/>
    <w:rsid w:val="00CD51F7"/>
    <w:rsid w:val="00CD734E"/>
    <w:rsid w:val="00CE7DC5"/>
    <w:rsid w:val="00CF4F9A"/>
    <w:rsid w:val="00D163A7"/>
    <w:rsid w:val="00D513C4"/>
    <w:rsid w:val="00D7262F"/>
    <w:rsid w:val="00DA00D9"/>
    <w:rsid w:val="00DC18AE"/>
    <w:rsid w:val="00DC4B82"/>
    <w:rsid w:val="00DE06FC"/>
    <w:rsid w:val="00DE55A6"/>
    <w:rsid w:val="00DE7E97"/>
    <w:rsid w:val="00DE7F68"/>
    <w:rsid w:val="00E109DF"/>
    <w:rsid w:val="00E20CB0"/>
    <w:rsid w:val="00E31401"/>
    <w:rsid w:val="00E419F1"/>
    <w:rsid w:val="00E42DFC"/>
    <w:rsid w:val="00E4328C"/>
    <w:rsid w:val="00E47F68"/>
    <w:rsid w:val="00E61913"/>
    <w:rsid w:val="00E627E0"/>
    <w:rsid w:val="00E65F7A"/>
    <w:rsid w:val="00E81914"/>
    <w:rsid w:val="00E85563"/>
    <w:rsid w:val="00EA08A4"/>
    <w:rsid w:val="00EB1384"/>
    <w:rsid w:val="00EC39ED"/>
    <w:rsid w:val="00EC4504"/>
    <w:rsid w:val="00ED619F"/>
    <w:rsid w:val="00EF1AED"/>
    <w:rsid w:val="00F27B7F"/>
    <w:rsid w:val="00F57477"/>
    <w:rsid w:val="00F64671"/>
    <w:rsid w:val="00F6640E"/>
    <w:rsid w:val="00F7146C"/>
    <w:rsid w:val="00F81AFD"/>
    <w:rsid w:val="00F8667A"/>
    <w:rsid w:val="00F9394E"/>
    <w:rsid w:val="00FA4737"/>
    <w:rsid w:val="00FA6C49"/>
    <w:rsid w:val="00FC5CF8"/>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613E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3E49"/>
  </w:style>
  <w:style w:type="paragraph" w:styleId="Footer">
    <w:name w:val="footer"/>
    <w:basedOn w:val="Normal"/>
    <w:link w:val="FooterChar"/>
    <w:uiPriority w:val="99"/>
    <w:unhideWhenUsed/>
    <w:rsid w:val="00613E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3E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613E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3E49"/>
  </w:style>
  <w:style w:type="paragraph" w:styleId="Footer">
    <w:name w:val="footer"/>
    <w:basedOn w:val="Normal"/>
    <w:link w:val="FooterChar"/>
    <w:uiPriority w:val="99"/>
    <w:unhideWhenUsed/>
    <w:rsid w:val="00613E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3E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475</Words>
  <Characters>2714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2014-04-01T13:32:00Z</dcterms:created>
  <dcterms:modified xsi:type="dcterms:W3CDTF">2014-06-17T15:09:00Z</dcterms:modified>
</cp:coreProperties>
</file>