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806" w:rsidRDefault="004F0806" w:rsidP="004F0806">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4F0806" w:rsidRDefault="004F0806" w:rsidP="004F0806">
      <w:pPr>
        <w:spacing w:after="0" w:line="240" w:lineRule="auto"/>
        <w:jc w:val="both"/>
        <w:rPr>
          <w:rFonts w:ascii="Times New Roman" w:eastAsia="Arial" w:hAnsi="Times New Roman"/>
          <w:sz w:val="26"/>
          <w:szCs w:val="26"/>
        </w:rPr>
      </w:pPr>
    </w:p>
    <w:p w:rsidR="004F0806" w:rsidRDefault="004F0806" w:rsidP="004F0806">
      <w:pPr>
        <w:spacing w:after="0" w:line="240" w:lineRule="auto"/>
        <w:jc w:val="both"/>
        <w:rPr>
          <w:rFonts w:ascii="Times New Roman" w:eastAsia="Arial" w:hAnsi="Times New Roman"/>
          <w:sz w:val="26"/>
          <w:szCs w:val="26"/>
        </w:rPr>
      </w:pPr>
      <w:r>
        <w:rPr>
          <w:rFonts w:ascii="Times New Roman" w:eastAsia="Arial" w:hAnsi="Times New Roman"/>
          <w:sz w:val="26"/>
          <w:szCs w:val="26"/>
        </w:rPr>
        <w:t>18 U.S.C. § 2241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xml:space="preserve"> provides, </w:t>
      </w:r>
      <w:r w:rsidR="001B44A2">
        <w:rPr>
          <w:rFonts w:ascii="Times New Roman" w:eastAsia="Arial" w:hAnsi="Times New Roman"/>
          <w:sz w:val="26"/>
          <w:szCs w:val="26"/>
        </w:rPr>
        <w:t xml:space="preserve">in </w:t>
      </w:r>
      <w:r>
        <w:rPr>
          <w:rFonts w:ascii="Times New Roman" w:eastAsia="Arial" w:hAnsi="Times New Roman"/>
          <w:sz w:val="26"/>
          <w:szCs w:val="26"/>
        </w:rPr>
        <w:t>relevant part:</w:t>
      </w:r>
    </w:p>
    <w:p w:rsidR="004F0806" w:rsidRDefault="004F0806" w:rsidP="004F0806">
      <w:pPr>
        <w:spacing w:after="0" w:line="240" w:lineRule="auto"/>
        <w:jc w:val="both"/>
        <w:rPr>
          <w:rFonts w:ascii="Times New Roman" w:eastAsia="Arial" w:hAnsi="Times New Roman"/>
          <w:sz w:val="26"/>
          <w:szCs w:val="26"/>
        </w:rPr>
      </w:pPr>
    </w:p>
    <w:p w:rsidR="004F0806" w:rsidRDefault="004F0806" w:rsidP="00793BDF">
      <w:pPr>
        <w:spacing w:after="0" w:line="240" w:lineRule="auto"/>
        <w:ind w:left="720" w:right="720"/>
        <w:jc w:val="both"/>
        <w:rPr>
          <w:rFonts w:ascii="Times New Roman" w:eastAsia="Arial" w:hAnsi="Times New Roman"/>
          <w:sz w:val="26"/>
          <w:szCs w:val="26"/>
        </w:rPr>
      </w:pPr>
      <w:r>
        <w:rPr>
          <w:rFonts w:ascii="Times New Roman" w:eastAsia="Arial" w:hAnsi="Times New Roman"/>
          <w:sz w:val="26"/>
          <w:szCs w:val="26"/>
        </w:rPr>
        <w:t>Whoever crosses a State line with intent to engage in a sexual act with a person who has not attained the age of 12 years… shall be fined under this title and imprisoned for not less than 30 years or for life. If the defendant has previously been convicted of another Federal off</w:t>
      </w:r>
      <w:r w:rsidR="001B44A2">
        <w:rPr>
          <w:rFonts w:ascii="Times New Roman" w:eastAsia="Arial" w:hAnsi="Times New Roman"/>
          <w:sz w:val="26"/>
          <w:szCs w:val="26"/>
        </w:rPr>
        <w:t>ense under this subsection, or o</w:t>
      </w:r>
      <w:r>
        <w:rPr>
          <w:rFonts w:ascii="Times New Roman" w:eastAsia="Arial" w:hAnsi="Times New Roman"/>
          <w:sz w:val="26"/>
          <w:szCs w:val="26"/>
        </w:rPr>
        <w:t>f a State offense that would have been an offense under either such provision had the offense occurred in a Federal prison, unless the death penalty is imposed, the defendant shall be sentenced to life in prison.</w:t>
      </w:r>
    </w:p>
    <w:p w:rsidR="004F0806" w:rsidRDefault="004F0806" w:rsidP="004F0806">
      <w:pPr>
        <w:spacing w:after="0" w:line="240" w:lineRule="auto"/>
        <w:ind w:right="360"/>
        <w:jc w:val="both"/>
        <w:rPr>
          <w:rFonts w:ascii="Times New Roman" w:eastAsia="Arial" w:hAnsi="Times New Roman"/>
          <w:sz w:val="26"/>
          <w:szCs w:val="26"/>
        </w:rPr>
      </w:pPr>
    </w:p>
    <w:p w:rsidR="004F0806" w:rsidRDefault="004F0806" w:rsidP="00793BDF">
      <w:pPr>
        <w:spacing w:after="0" w:line="240" w:lineRule="auto"/>
        <w:ind w:left="2131" w:hanging="2131"/>
        <w:jc w:val="both"/>
        <w:rPr>
          <w:rFonts w:ascii="Times New Roman" w:eastAsia="Arial" w:hAnsi="Times New Roman"/>
          <w:sz w:val="26"/>
          <w:szCs w:val="26"/>
        </w:rPr>
      </w:pPr>
      <w:r>
        <w:rPr>
          <w:rFonts w:ascii="Times New Roman" w:eastAsia="Arial" w:hAnsi="Times New Roman"/>
          <w:sz w:val="26"/>
          <w:szCs w:val="26"/>
        </w:rPr>
        <w:t xml:space="preserve">Maximum Penalty: Mandatory minimum of thirty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30 </w:instrText>
      </w:r>
      <w:r>
        <w:rPr>
          <w:rFonts w:ascii="Times New Roman" w:eastAsia="Arial" w:hAnsi="Times New Roman"/>
          <w:sz w:val="26"/>
          <w:szCs w:val="26"/>
        </w:rPr>
        <w:fldChar w:fldCharType="end"/>
      </w:r>
      <w:r>
        <w:rPr>
          <w:rFonts w:ascii="Times New Roman" w:eastAsia="Arial" w:hAnsi="Times New Roman"/>
          <w:sz w:val="26"/>
          <w:szCs w:val="26"/>
        </w:rPr>
        <w:t xml:space="preserve"> years for first offense; maximum term of life in prison and applicable fine. For a subsequent offense of § 2241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the sentence is life in prison.</w:t>
      </w:r>
    </w:p>
    <w:p w:rsidR="004F0806" w:rsidRDefault="004F0806" w:rsidP="004F0806">
      <w:pPr>
        <w:spacing w:after="0" w:line="240" w:lineRule="auto"/>
        <w:jc w:val="both"/>
        <w:rPr>
          <w:rFonts w:ascii="Times New Roman" w:eastAsia="Arial" w:hAnsi="Times New Roman"/>
          <w:sz w:val="26"/>
          <w:szCs w:val="26"/>
        </w:rPr>
      </w:pPr>
    </w:p>
    <w:p w:rsidR="004F0806" w:rsidRDefault="004F0806" w:rsidP="004F0806">
      <w:pPr>
        <w:spacing w:after="0" w:line="240" w:lineRule="auto"/>
        <w:jc w:val="both"/>
        <w:rPr>
          <w:rFonts w:ascii="Times New Roman" w:eastAsia="Arial" w:hAnsi="Times New Roman"/>
          <w:sz w:val="26"/>
          <w:szCs w:val="26"/>
        </w:rPr>
      </w:pPr>
      <w:r>
        <w:rPr>
          <w:rFonts w:ascii="Times New Roman" w:eastAsia="Arial" w:hAnsi="Times New Roman"/>
          <w:sz w:val="26"/>
          <w:szCs w:val="26"/>
        </w:rPr>
        <w:t>18 U.S.C. § 2260A provides for an enhanced sentence for persons required to register as sex offenders. 18 U.S.C. § 2241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xml:space="preserve"> provides for a life sentence if the defendant was previously convicted of another offense under § 2241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18 U.S.C. § 2247 provides that the maximum sentence for a repeat offender under chapter 109A is twice the term otherwise provided by the chapter. 18 U.S.C. § 3559 provides for mandatory life imprisonment for repeated sex offenses against children.</w:t>
      </w:r>
    </w:p>
    <w:p w:rsidR="004F0806" w:rsidRDefault="004F0806" w:rsidP="004F0806">
      <w:pPr>
        <w:spacing w:after="0" w:line="240" w:lineRule="auto"/>
        <w:jc w:val="both"/>
        <w:rPr>
          <w:rFonts w:ascii="Times New Roman" w:eastAsia="Arial" w:hAnsi="Times New Roman"/>
          <w:sz w:val="26"/>
          <w:szCs w:val="26"/>
        </w:rPr>
      </w:pPr>
    </w:p>
    <w:p w:rsidR="004F0806" w:rsidRDefault="004F0806" w:rsidP="004F0806">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defendant’s dominant purpose in crossing a State line or traveling in foreign commerce need not be to engage in a sexual act with a child. However, to meet the intent requirement the Government must prove that one of the defendant’s motives was to engage in a sexual act with a child. </w:t>
      </w:r>
      <w:r w:rsidRPr="00793BDF">
        <w:rPr>
          <w:rFonts w:ascii="Times New Roman" w:eastAsia="Arial" w:hAnsi="Times New Roman"/>
          <w:i/>
          <w:sz w:val="26"/>
          <w:szCs w:val="26"/>
        </w:rPr>
        <w:t>United States v. Garcia-Lopez</w:t>
      </w:r>
      <w:r>
        <w:rPr>
          <w:rFonts w:ascii="Times New Roman" w:eastAsia="Arial" w:hAnsi="Times New Roman"/>
          <w:sz w:val="26"/>
          <w:szCs w:val="26"/>
        </w:rPr>
        <w:t>, 234 F.3d 217, 220 (5</w:t>
      </w:r>
      <w:r w:rsidRPr="00527E15">
        <w:rPr>
          <w:rFonts w:ascii="Times New Roman" w:eastAsia="Arial" w:hAnsi="Times New Roman"/>
          <w:sz w:val="26"/>
          <w:szCs w:val="26"/>
          <w:vertAlign w:val="superscript"/>
        </w:rPr>
        <w:t>th</w:t>
      </w:r>
      <w:r>
        <w:rPr>
          <w:rFonts w:ascii="Times New Roman" w:eastAsia="Arial" w:hAnsi="Times New Roman"/>
          <w:sz w:val="26"/>
          <w:szCs w:val="26"/>
        </w:rPr>
        <w:t xml:space="preserve"> Cir. 2000) (construing intent requirement of 18 U.S.C. § 2423 and affirming district court’s refusal to give instruction that illicit activity must have been “dominant purpose” for defendant’s trip). </w:t>
      </w:r>
      <w:r w:rsidRPr="00793BDF">
        <w:rPr>
          <w:rFonts w:ascii="Times New Roman" w:eastAsia="Arial" w:hAnsi="Times New Roman"/>
          <w:i/>
          <w:sz w:val="26"/>
          <w:szCs w:val="26"/>
        </w:rPr>
        <w:t xml:space="preserve">Cf. United States v. </w:t>
      </w:r>
      <w:proofErr w:type="spellStart"/>
      <w:r w:rsidRPr="00793BDF">
        <w:rPr>
          <w:rFonts w:ascii="Times New Roman" w:eastAsia="Arial" w:hAnsi="Times New Roman"/>
          <w:i/>
          <w:sz w:val="26"/>
          <w:szCs w:val="26"/>
        </w:rPr>
        <w:t>Hoschouer</w:t>
      </w:r>
      <w:proofErr w:type="spellEnd"/>
      <w:r>
        <w:rPr>
          <w:rFonts w:ascii="Times New Roman" w:eastAsia="Arial" w:hAnsi="Times New Roman"/>
          <w:sz w:val="26"/>
          <w:szCs w:val="26"/>
        </w:rPr>
        <w:t xml:space="preserve">, 224 Fed. </w:t>
      </w:r>
      <w:proofErr w:type="spellStart"/>
      <w:proofErr w:type="gramStart"/>
      <w:r>
        <w:rPr>
          <w:rFonts w:ascii="Times New Roman" w:eastAsia="Arial" w:hAnsi="Times New Roman"/>
          <w:sz w:val="26"/>
          <w:szCs w:val="26"/>
        </w:rPr>
        <w:t>Appx</w:t>
      </w:r>
      <w:proofErr w:type="spellEnd"/>
      <w:r>
        <w:rPr>
          <w:rFonts w:ascii="Times New Roman" w:eastAsia="Arial" w:hAnsi="Times New Roman"/>
          <w:sz w:val="26"/>
          <w:szCs w:val="26"/>
        </w:rPr>
        <w:t>.</w:t>
      </w:r>
      <w:proofErr w:type="gramEnd"/>
      <w:r>
        <w:rPr>
          <w:rFonts w:ascii="Times New Roman" w:eastAsia="Arial" w:hAnsi="Times New Roman"/>
          <w:sz w:val="26"/>
          <w:szCs w:val="26"/>
        </w:rPr>
        <w:t xml:space="preserve"> 923, 925 (2007) (finding that intent requirement of § 2423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was met when defendant brought child on interstate trip and evidence supported the conclusion that he did so to facilitate his sexual relationship with her).</w:t>
      </w:r>
    </w:p>
    <w:p w:rsidR="004F0806" w:rsidRDefault="004F0806" w:rsidP="004F0806">
      <w:pPr>
        <w:spacing w:after="0" w:line="240" w:lineRule="auto"/>
        <w:jc w:val="both"/>
        <w:rPr>
          <w:rFonts w:ascii="Times New Roman" w:eastAsia="Arial" w:hAnsi="Times New Roman"/>
          <w:sz w:val="26"/>
          <w:szCs w:val="26"/>
        </w:rPr>
      </w:pPr>
    </w:p>
    <w:p w:rsidR="00725167" w:rsidRPr="004F0806" w:rsidRDefault="004F0806" w:rsidP="004F0806">
      <w:pPr>
        <w:spacing w:after="0" w:line="240" w:lineRule="auto"/>
        <w:jc w:val="both"/>
        <w:rPr>
          <w:rFonts w:ascii="Times New Roman" w:eastAsia="Arial" w:hAnsi="Times New Roman"/>
          <w:sz w:val="26"/>
          <w:szCs w:val="26"/>
        </w:rPr>
      </w:pPr>
      <w:r>
        <w:rPr>
          <w:rFonts w:ascii="Times New Roman" w:eastAsia="Arial" w:hAnsi="Times New Roman"/>
          <w:sz w:val="26"/>
          <w:szCs w:val="26"/>
        </w:rPr>
        <w:t>The object of the sexual act need not actually exist for the defendant to be convicted of a violation of § 2241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xml:space="preserve">. </w:t>
      </w:r>
      <w:r w:rsidRPr="00793BDF">
        <w:rPr>
          <w:rFonts w:ascii="Times New Roman" w:eastAsia="Arial" w:hAnsi="Times New Roman"/>
          <w:i/>
          <w:sz w:val="26"/>
          <w:szCs w:val="26"/>
        </w:rPr>
        <w:t>United States v. Grossman</w:t>
      </w:r>
      <w:r>
        <w:rPr>
          <w:rFonts w:ascii="Times New Roman" w:eastAsia="Arial" w:hAnsi="Times New Roman"/>
          <w:sz w:val="26"/>
          <w:szCs w:val="26"/>
        </w:rPr>
        <w:t xml:space="preserve">, 233 Fed. </w:t>
      </w:r>
      <w:proofErr w:type="spellStart"/>
      <w:proofErr w:type="gramStart"/>
      <w:r>
        <w:rPr>
          <w:rFonts w:ascii="Times New Roman" w:eastAsia="Arial" w:hAnsi="Times New Roman"/>
          <w:sz w:val="26"/>
          <w:szCs w:val="26"/>
        </w:rPr>
        <w:t>Appx</w:t>
      </w:r>
      <w:proofErr w:type="spellEnd"/>
      <w:r>
        <w:rPr>
          <w:rFonts w:ascii="Times New Roman" w:eastAsia="Arial" w:hAnsi="Times New Roman"/>
          <w:sz w:val="26"/>
          <w:szCs w:val="26"/>
        </w:rPr>
        <w:t>.</w:t>
      </w:r>
      <w:proofErr w:type="gramEnd"/>
      <w:r>
        <w:rPr>
          <w:rFonts w:ascii="Times New Roman" w:eastAsia="Arial" w:hAnsi="Times New Roman"/>
          <w:sz w:val="26"/>
          <w:szCs w:val="26"/>
        </w:rPr>
        <w:t xml:space="preserve"> </w:t>
      </w:r>
      <w:proofErr w:type="gramStart"/>
      <w:r>
        <w:rPr>
          <w:rFonts w:ascii="Times New Roman" w:eastAsia="Arial" w:hAnsi="Times New Roman"/>
          <w:sz w:val="26"/>
          <w:szCs w:val="26"/>
        </w:rPr>
        <w:t>963, 965 (11</w:t>
      </w:r>
      <w:r w:rsidRPr="00527E15">
        <w:rPr>
          <w:rFonts w:ascii="Times New Roman" w:eastAsia="Arial" w:hAnsi="Times New Roman"/>
          <w:sz w:val="26"/>
          <w:szCs w:val="26"/>
          <w:vertAlign w:val="superscript"/>
        </w:rPr>
        <w:t>th</w:t>
      </w:r>
      <w:r>
        <w:rPr>
          <w:rFonts w:ascii="Times New Roman" w:eastAsia="Arial" w:hAnsi="Times New Roman"/>
          <w:sz w:val="26"/>
          <w:szCs w:val="26"/>
        </w:rPr>
        <w:t xml:space="preserve"> Cir. 2007).</w:t>
      </w:r>
      <w:bookmarkEnd w:id="0"/>
      <w:proofErr w:type="gramEnd"/>
    </w:p>
    <w:sectPr w:rsidR="00725167" w:rsidRPr="004F080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8A9" w:rsidRDefault="009708A9" w:rsidP="009708A9">
      <w:pPr>
        <w:spacing w:after="0" w:line="240" w:lineRule="auto"/>
      </w:pPr>
      <w:r>
        <w:separator/>
      </w:r>
    </w:p>
  </w:endnote>
  <w:endnote w:type="continuationSeparator" w:id="0">
    <w:p w:rsidR="009708A9" w:rsidRDefault="009708A9" w:rsidP="00970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8A9" w:rsidRDefault="009708A9" w:rsidP="009708A9">
      <w:pPr>
        <w:spacing w:after="0" w:line="240" w:lineRule="auto"/>
      </w:pPr>
      <w:r>
        <w:separator/>
      </w:r>
    </w:p>
  </w:footnote>
  <w:footnote w:type="continuationSeparator" w:id="0">
    <w:p w:rsidR="009708A9" w:rsidRDefault="009708A9" w:rsidP="009708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5397"/>
    <w:rsid w:val="00137BA2"/>
    <w:rsid w:val="00144B24"/>
    <w:rsid w:val="001450C4"/>
    <w:rsid w:val="001536CF"/>
    <w:rsid w:val="00157747"/>
    <w:rsid w:val="00166AB9"/>
    <w:rsid w:val="00194E82"/>
    <w:rsid w:val="001B44A2"/>
    <w:rsid w:val="001D5FF6"/>
    <w:rsid w:val="001E3479"/>
    <w:rsid w:val="001E4EF8"/>
    <w:rsid w:val="001E5B53"/>
    <w:rsid w:val="001F7640"/>
    <w:rsid w:val="002077C3"/>
    <w:rsid w:val="002161E7"/>
    <w:rsid w:val="002329BF"/>
    <w:rsid w:val="00233997"/>
    <w:rsid w:val="00236275"/>
    <w:rsid w:val="00245EF2"/>
    <w:rsid w:val="00246533"/>
    <w:rsid w:val="002604B9"/>
    <w:rsid w:val="00290544"/>
    <w:rsid w:val="002D2202"/>
    <w:rsid w:val="003067A0"/>
    <w:rsid w:val="00314335"/>
    <w:rsid w:val="00321868"/>
    <w:rsid w:val="00367FCA"/>
    <w:rsid w:val="00372806"/>
    <w:rsid w:val="003A75E9"/>
    <w:rsid w:val="003B0729"/>
    <w:rsid w:val="003B09A8"/>
    <w:rsid w:val="003C2BF8"/>
    <w:rsid w:val="003D6207"/>
    <w:rsid w:val="00406A43"/>
    <w:rsid w:val="00431B02"/>
    <w:rsid w:val="00465F35"/>
    <w:rsid w:val="00483B81"/>
    <w:rsid w:val="004A1AAC"/>
    <w:rsid w:val="004A354F"/>
    <w:rsid w:val="004C148A"/>
    <w:rsid w:val="004C531E"/>
    <w:rsid w:val="004D06A2"/>
    <w:rsid w:val="004F0806"/>
    <w:rsid w:val="00503A01"/>
    <w:rsid w:val="00511CE4"/>
    <w:rsid w:val="00543EBC"/>
    <w:rsid w:val="0056064A"/>
    <w:rsid w:val="00565EF7"/>
    <w:rsid w:val="00586722"/>
    <w:rsid w:val="005B45D9"/>
    <w:rsid w:val="005C4DB9"/>
    <w:rsid w:val="005F50E3"/>
    <w:rsid w:val="00615301"/>
    <w:rsid w:val="0061645E"/>
    <w:rsid w:val="006179FB"/>
    <w:rsid w:val="00632C46"/>
    <w:rsid w:val="00633618"/>
    <w:rsid w:val="00636B96"/>
    <w:rsid w:val="006B1FC0"/>
    <w:rsid w:val="006C204A"/>
    <w:rsid w:val="00725167"/>
    <w:rsid w:val="007706F0"/>
    <w:rsid w:val="00780FDD"/>
    <w:rsid w:val="00783A2A"/>
    <w:rsid w:val="00793BDF"/>
    <w:rsid w:val="007C4B9C"/>
    <w:rsid w:val="007F2C07"/>
    <w:rsid w:val="0080418B"/>
    <w:rsid w:val="00804614"/>
    <w:rsid w:val="0081575C"/>
    <w:rsid w:val="00824AA2"/>
    <w:rsid w:val="00831238"/>
    <w:rsid w:val="00841F17"/>
    <w:rsid w:val="008A01B6"/>
    <w:rsid w:val="008A442C"/>
    <w:rsid w:val="008B149D"/>
    <w:rsid w:val="008B3742"/>
    <w:rsid w:val="008B4118"/>
    <w:rsid w:val="008C025F"/>
    <w:rsid w:val="008C1CC7"/>
    <w:rsid w:val="008D77A9"/>
    <w:rsid w:val="008E0F69"/>
    <w:rsid w:val="008E221D"/>
    <w:rsid w:val="008E4BA2"/>
    <w:rsid w:val="008E7C9B"/>
    <w:rsid w:val="00912D2D"/>
    <w:rsid w:val="009458BA"/>
    <w:rsid w:val="009708A9"/>
    <w:rsid w:val="009745AC"/>
    <w:rsid w:val="009A4745"/>
    <w:rsid w:val="009B3EC8"/>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64F36"/>
    <w:rsid w:val="00B8093D"/>
    <w:rsid w:val="00B83F0B"/>
    <w:rsid w:val="00B85D99"/>
    <w:rsid w:val="00B930F5"/>
    <w:rsid w:val="00BA1F2B"/>
    <w:rsid w:val="00BC6D90"/>
    <w:rsid w:val="00BD01A4"/>
    <w:rsid w:val="00BE616A"/>
    <w:rsid w:val="00BE645C"/>
    <w:rsid w:val="00C1091D"/>
    <w:rsid w:val="00C6290E"/>
    <w:rsid w:val="00C83E88"/>
    <w:rsid w:val="00CA3187"/>
    <w:rsid w:val="00CB4D2A"/>
    <w:rsid w:val="00CC4195"/>
    <w:rsid w:val="00CC4FBE"/>
    <w:rsid w:val="00CD51F7"/>
    <w:rsid w:val="00CD734E"/>
    <w:rsid w:val="00CE7DC5"/>
    <w:rsid w:val="00CF4F9A"/>
    <w:rsid w:val="00D163A7"/>
    <w:rsid w:val="00D513C4"/>
    <w:rsid w:val="00D7262F"/>
    <w:rsid w:val="00DA00D9"/>
    <w:rsid w:val="00DC18AE"/>
    <w:rsid w:val="00DC4B82"/>
    <w:rsid w:val="00DE06FC"/>
    <w:rsid w:val="00DE55A6"/>
    <w:rsid w:val="00DE7E97"/>
    <w:rsid w:val="00DE7F68"/>
    <w:rsid w:val="00E109DF"/>
    <w:rsid w:val="00E20CB0"/>
    <w:rsid w:val="00E31401"/>
    <w:rsid w:val="00E419F1"/>
    <w:rsid w:val="00E42DFC"/>
    <w:rsid w:val="00E4328C"/>
    <w:rsid w:val="00E47F68"/>
    <w:rsid w:val="00E61913"/>
    <w:rsid w:val="00E627E0"/>
    <w:rsid w:val="00E65F7A"/>
    <w:rsid w:val="00E81914"/>
    <w:rsid w:val="00E85563"/>
    <w:rsid w:val="00EA08A4"/>
    <w:rsid w:val="00EB1384"/>
    <w:rsid w:val="00EC39ED"/>
    <w:rsid w:val="00EC4504"/>
    <w:rsid w:val="00ED619F"/>
    <w:rsid w:val="00EF1AED"/>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9708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8A9"/>
  </w:style>
  <w:style w:type="paragraph" w:styleId="Footer">
    <w:name w:val="footer"/>
    <w:basedOn w:val="Normal"/>
    <w:link w:val="FooterChar"/>
    <w:uiPriority w:val="99"/>
    <w:unhideWhenUsed/>
    <w:rsid w:val="009708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8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9708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8A9"/>
  </w:style>
  <w:style w:type="paragraph" w:styleId="Footer">
    <w:name w:val="footer"/>
    <w:basedOn w:val="Normal"/>
    <w:link w:val="FooterChar"/>
    <w:uiPriority w:val="99"/>
    <w:unhideWhenUsed/>
    <w:rsid w:val="009708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2014-04-01T13:34:00Z</dcterms:created>
  <dcterms:modified xsi:type="dcterms:W3CDTF">2014-06-17T14:52:00Z</dcterms:modified>
</cp:coreProperties>
</file>