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5E9" w:rsidRPr="00503874" w:rsidRDefault="003A75E9" w:rsidP="003A75E9">
      <w:pPr>
        <w:spacing w:after="0" w:line="240" w:lineRule="auto"/>
        <w:jc w:val="both"/>
        <w:rPr>
          <w:rFonts w:ascii="Times New Roman" w:eastAsia="Arial" w:hAnsi="Times New Roman"/>
          <w:sz w:val="26"/>
          <w:szCs w:val="26"/>
        </w:rPr>
      </w:pPr>
      <w:bookmarkStart w:id="0" w:name="_GoBack"/>
      <w:r w:rsidRPr="00503874">
        <w:rPr>
          <w:rFonts w:ascii="Times New Roman" w:eastAsia="Arial" w:hAnsi="Times New Roman"/>
          <w:b/>
          <w:sz w:val="26"/>
          <w:szCs w:val="26"/>
          <w:u w:val="single"/>
        </w:rPr>
        <w:t>ANNOTATIONS AND COMMENTS</w:t>
      </w:r>
    </w:p>
    <w:p w:rsidR="003A75E9" w:rsidRPr="00503874" w:rsidRDefault="003A75E9" w:rsidP="003A75E9">
      <w:pPr>
        <w:spacing w:after="0" w:line="240" w:lineRule="auto"/>
        <w:jc w:val="both"/>
        <w:rPr>
          <w:rFonts w:ascii="Times New Roman" w:eastAsia="Arial" w:hAnsi="Times New Roman"/>
          <w:sz w:val="26"/>
          <w:szCs w:val="26"/>
        </w:rPr>
      </w:pPr>
    </w:p>
    <w:p w:rsidR="003A75E9" w:rsidRPr="00503874" w:rsidRDefault="003A75E9" w:rsidP="003A75E9">
      <w:pPr>
        <w:spacing w:after="0" w:line="240" w:lineRule="auto"/>
        <w:jc w:val="both"/>
        <w:rPr>
          <w:rFonts w:ascii="Times New Roman" w:eastAsia="Arial" w:hAnsi="Times New Roman"/>
          <w:sz w:val="26"/>
          <w:szCs w:val="26"/>
        </w:rPr>
      </w:pPr>
      <w:r w:rsidRPr="00503874">
        <w:rPr>
          <w:rFonts w:ascii="Times New Roman" w:eastAsia="Arial" w:hAnsi="Times New Roman"/>
          <w:sz w:val="26"/>
          <w:szCs w:val="26"/>
        </w:rPr>
        <w:t xml:space="preserve">18 U.S.C. </w:t>
      </w:r>
      <w:r w:rsidRPr="00503874">
        <w:rPr>
          <w:rFonts w:ascii="Times New Roman" w:eastAsia="Arial" w:hAnsi="Times New Roman" w:cs="Times New Roman"/>
          <w:sz w:val="26"/>
          <w:szCs w:val="26"/>
        </w:rPr>
        <w:t>§</w:t>
      </w:r>
      <w:r w:rsidRPr="00503874">
        <w:rPr>
          <w:rFonts w:ascii="Times New Roman" w:eastAsia="Arial" w:hAnsi="Times New Roman"/>
          <w:sz w:val="26"/>
          <w:szCs w:val="26"/>
        </w:rPr>
        <w:t xml:space="preserve"> 242 provides:</w:t>
      </w:r>
    </w:p>
    <w:p w:rsidR="003A75E9" w:rsidRPr="00503874" w:rsidRDefault="003A75E9" w:rsidP="003A75E9">
      <w:pPr>
        <w:spacing w:after="0" w:line="240" w:lineRule="auto"/>
        <w:jc w:val="both"/>
        <w:rPr>
          <w:rFonts w:ascii="Times New Roman" w:eastAsia="Arial" w:hAnsi="Times New Roman"/>
          <w:sz w:val="26"/>
          <w:szCs w:val="26"/>
        </w:rPr>
      </w:pPr>
    </w:p>
    <w:p w:rsidR="003A75E9" w:rsidRPr="00503874" w:rsidRDefault="003A75E9" w:rsidP="003A75E9">
      <w:pPr>
        <w:spacing w:after="0" w:line="240" w:lineRule="auto"/>
        <w:ind w:left="360" w:right="360" w:firstLine="360"/>
        <w:jc w:val="both"/>
        <w:rPr>
          <w:rFonts w:ascii="Times New Roman" w:eastAsia="Arial" w:hAnsi="Times New Roman"/>
          <w:sz w:val="26"/>
          <w:szCs w:val="26"/>
        </w:rPr>
      </w:pPr>
      <w:r w:rsidRPr="00503874">
        <w:rPr>
          <w:rFonts w:ascii="Times New Roman" w:eastAsia="Arial" w:hAnsi="Times New Roman"/>
          <w:sz w:val="26"/>
          <w:szCs w:val="26"/>
        </w:rPr>
        <w:t>Whoever, under color of any law, statute, ordinance, regulation, or custom, willfully subjects any person in any State… to the deprivation of any rights, privileges, or immunities secured or protected by the Constitution or laws of the United States [shall be guilty of an offense against the United States].</w:t>
      </w:r>
    </w:p>
    <w:p w:rsidR="003A75E9" w:rsidRPr="00503874" w:rsidRDefault="003A75E9" w:rsidP="003A75E9">
      <w:pPr>
        <w:spacing w:after="0" w:line="240" w:lineRule="auto"/>
        <w:ind w:left="360" w:right="360" w:firstLine="360"/>
        <w:jc w:val="both"/>
        <w:rPr>
          <w:rFonts w:ascii="Times New Roman" w:eastAsia="Arial" w:hAnsi="Times New Roman"/>
          <w:sz w:val="26"/>
          <w:szCs w:val="26"/>
        </w:rPr>
      </w:pPr>
    </w:p>
    <w:p w:rsidR="003A75E9" w:rsidRPr="00503874" w:rsidRDefault="003A75E9" w:rsidP="003A75E9">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Maximum Penalty: One </w:t>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1 </w:instrText>
      </w:r>
      <w:r w:rsidRPr="00503874">
        <w:rPr>
          <w:rFonts w:ascii="Times New Roman" w:eastAsia="Arial" w:hAnsi="Times New Roman"/>
          <w:sz w:val="26"/>
          <w:szCs w:val="26"/>
        </w:rPr>
        <w:fldChar w:fldCharType="end"/>
      </w:r>
      <w:r w:rsidRPr="00503874">
        <w:rPr>
          <w:rFonts w:ascii="Times New Roman" w:eastAsia="Arial" w:hAnsi="Times New Roman" w:cs="Times New Roman"/>
          <w:sz w:val="26"/>
          <w:szCs w:val="26"/>
        </w:rPr>
        <w:t xml:space="preserve"> year imprisonment and applicable fine.</w:t>
      </w:r>
    </w:p>
    <w:p w:rsidR="003A75E9" w:rsidRPr="00503874" w:rsidRDefault="003A75E9" w:rsidP="003A75E9">
      <w:pPr>
        <w:spacing w:after="0" w:line="240" w:lineRule="auto"/>
        <w:jc w:val="both"/>
        <w:rPr>
          <w:rFonts w:ascii="Times New Roman" w:eastAsia="Arial" w:hAnsi="Times New Roman"/>
          <w:sz w:val="26"/>
          <w:szCs w:val="26"/>
        </w:rPr>
      </w:pPr>
    </w:p>
    <w:p w:rsidR="003A75E9" w:rsidRPr="00503874" w:rsidRDefault="003A75E9" w:rsidP="003A75E9">
      <w:pPr>
        <w:spacing w:after="0" w:line="240" w:lineRule="auto"/>
        <w:jc w:val="both"/>
        <w:rPr>
          <w:rFonts w:ascii="Times New Roman" w:eastAsia="Arial" w:hAnsi="Times New Roman" w:cs="Times New Roman"/>
          <w:sz w:val="26"/>
          <w:szCs w:val="26"/>
        </w:rPr>
      </w:pPr>
      <w:r w:rsidRPr="00503874">
        <w:rPr>
          <w:rFonts w:ascii="Times New Roman" w:eastAsia="Arial" w:hAnsi="Times New Roman"/>
          <w:sz w:val="26"/>
          <w:szCs w:val="26"/>
        </w:rPr>
        <w:t xml:space="preserve">18 U.S.C. </w:t>
      </w:r>
      <w:r w:rsidRPr="00503874">
        <w:rPr>
          <w:rFonts w:ascii="Times New Roman" w:eastAsia="Arial" w:hAnsi="Times New Roman" w:cs="Times New Roman"/>
          <w:sz w:val="26"/>
          <w:szCs w:val="26"/>
        </w:rPr>
        <w:t xml:space="preserve">§ 242 was amended in 1988 to increase the maximum penalty in a variety of situations, such as when bodily injury results or dangerous weapons are used, Under the principle of </w:t>
      </w:r>
      <w:r w:rsidRPr="00862C4A">
        <w:rPr>
          <w:rFonts w:ascii="Times New Roman" w:eastAsia="Arial" w:hAnsi="Times New Roman" w:cs="Times New Roman"/>
          <w:i/>
          <w:sz w:val="26"/>
          <w:szCs w:val="26"/>
        </w:rPr>
        <w:t>Apprendi</w:t>
      </w:r>
      <w:r w:rsidRPr="00503874">
        <w:rPr>
          <w:rFonts w:ascii="Times New Roman" w:eastAsia="Arial" w:hAnsi="Times New Roman" w:cs="Times New Roman"/>
          <w:sz w:val="26"/>
          <w:szCs w:val="26"/>
        </w:rPr>
        <w:t>, this charge must be modified if one of the many situations calling for an increased punishment is charged and, in that event, the Lesser Included Offense Special Instruction may also be used.</w:t>
      </w:r>
    </w:p>
    <w:p w:rsidR="003A75E9" w:rsidRPr="00503874" w:rsidRDefault="003A75E9" w:rsidP="003A75E9">
      <w:pPr>
        <w:spacing w:after="0" w:line="240" w:lineRule="auto"/>
        <w:jc w:val="both"/>
        <w:rPr>
          <w:rFonts w:ascii="Times New Roman" w:eastAsia="Arial" w:hAnsi="Times New Roman" w:cs="Times New Roman"/>
          <w:sz w:val="26"/>
          <w:szCs w:val="26"/>
        </w:rPr>
      </w:pPr>
    </w:p>
    <w:p w:rsidR="003A75E9" w:rsidRPr="00503874" w:rsidRDefault="003A75E9" w:rsidP="003A75E9">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The Eleventh Circuit has approved the following definition of “bodily injury” under § 242: “the term ‘bodily injury’ means – (A) a cut, abrasion, bruise, burn or disfigurement; (B) physical pain; (C) illness; (D) impairment of a function of a bodily member, organ or mental faculty; or (E) any other injury to the body, no matter how temporary.” </w:t>
      </w:r>
      <w:r w:rsidRPr="00862C4A">
        <w:rPr>
          <w:rFonts w:ascii="Times New Roman" w:eastAsia="Arial" w:hAnsi="Times New Roman" w:cs="Times New Roman"/>
          <w:i/>
          <w:sz w:val="26"/>
          <w:szCs w:val="26"/>
        </w:rPr>
        <w:t>United States v. Myers</w:t>
      </w:r>
      <w:r w:rsidRPr="00503874">
        <w:rPr>
          <w:rFonts w:ascii="Times New Roman" w:eastAsia="Arial" w:hAnsi="Times New Roman" w:cs="Times New Roman"/>
          <w:sz w:val="26"/>
          <w:szCs w:val="26"/>
        </w:rPr>
        <w:t>, 972 F.2d 1566, 1572 (11</w:t>
      </w:r>
      <w:r w:rsidRPr="00503874">
        <w:rPr>
          <w:rFonts w:ascii="Times New Roman" w:eastAsia="Arial" w:hAnsi="Times New Roman" w:cs="Times New Roman"/>
          <w:sz w:val="26"/>
          <w:szCs w:val="26"/>
          <w:vertAlign w:val="superscript"/>
        </w:rPr>
        <w:t>th</w:t>
      </w:r>
      <w:r w:rsidRPr="00503874">
        <w:rPr>
          <w:rFonts w:ascii="Times New Roman" w:eastAsia="Arial" w:hAnsi="Times New Roman" w:cs="Times New Roman"/>
          <w:sz w:val="26"/>
          <w:szCs w:val="26"/>
        </w:rPr>
        <w:t xml:space="preserve"> Cir. 1992), </w:t>
      </w:r>
      <w:r w:rsidRPr="00862C4A">
        <w:rPr>
          <w:rFonts w:ascii="Times New Roman" w:eastAsia="Arial" w:hAnsi="Times New Roman" w:cs="Times New Roman"/>
          <w:i/>
          <w:sz w:val="26"/>
          <w:szCs w:val="26"/>
        </w:rPr>
        <w:t>cert. denied</w:t>
      </w:r>
      <w:r w:rsidRPr="00503874">
        <w:rPr>
          <w:rFonts w:ascii="Times New Roman" w:eastAsia="Arial" w:hAnsi="Times New Roman" w:cs="Times New Roman"/>
          <w:sz w:val="26"/>
          <w:szCs w:val="26"/>
        </w:rPr>
        <w:t>, 507 U.S. 1017, 113 S. Ct. 1813, 123 L.</w:t>
      </w:r>
      <w:r>
        <w:rPr>
          <w:rFonts w:ascii="Times New Roman" w:eastAsia="Arial" w:hAnsi="Times New Roman" w:cs="Times New Roman"/>
          <w:sz w:val="26"/>
          <w:szCs w:val="26"/>
        </w:rPr>
        <w:t xml:space="preserve"> </w:t>
      </w:r>
      <w:r w:rsidRPr="00503874">
        <w:rPr>
          <w:rFonts w:ascii="Times New Roman" w:eastAsia="Arial" w:hAnsi="Times New Roman" w:cs="Times New Roman"/>
          <w:sz w:val="26"/>
          <w:szCs w:val="26"/>
        </w:rPr>
        <w:t>Ed.</w:t>
      </w:r>
      <w:r>
        <w:rPr>
          <w:rFonts w:ascii="Times New Roman" w:eastAsia="Arial" w:hAnsi="Times New Roman" w:cs="Times New Roman"/>
          <w:sz w:val="26"/>
          <w:szCs w:val="26"/>
        </w:rPr>
        <w:t xml:space="preserve"> </w:t>
      </w:r>
      <w:r w:rsidRPr="00503874">
        <w:rPr>
          <w:rFonts w:ascii="Times New Roman" w:eastAsia="Arial" w:hAnsi="Times New Roman" w:cs="Times New Roman"/>
          <w:sz w:val="26"/>
          <w:szCs w:val="26"/>
        </w:rPr>
        <w:t>2d 445 (1993).</w:t>
      </w:r>
    </w:p>
    <w:p w:rsidR="003A75E9" w:rsidRPr="00503874" w:rsidRDefault="003A75E9" w:rsidP="003A75E9">
      <w:pPr>
        <w:spacing w:after="0" w:line="240" w:lineRule="auto"/>
        <w:jc w:val="both"/>
        <w:rPr>
          <w:rFonts w:ascii="Times New Roman" w:eastAsia="Arial" w:hAnsi="Times New Roman" w:cs="Times New Roman"/>
          <w:sz w:val="26"/>
          <w:szCs w:val="26"/>
        </w:rPr>
      </w:pPr>
    </w:p>
    <w:p w:rsidR="003A75E9" w:rsidRPr="00503874" w:rsidRDefault="003A75E9" w:rsidP="003A75E9">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A private citizen who aids and abets a state officer may be guilty under § 242 if the private citizen willfully acts with state officers who are active participants. </w:t>
      </w:r>
      <w:r w:rsidRPr="00862C4A">
        <w:rPr>
          <w:rFonts w:ascii="Times New Roman" w:eastAsia="Arial" w:hAnsi="Times New Roman" w:cs="Times New Roman"/>
          <w:i/>
          <w:sz w:val="26"/>
          <w:szCs w:val="26"/>
        </w:rPr>
        <w:t>United States v. Farmer</w:t>
      </w:r>
      <w:r w:rsidRPr="00503874">
        <w:rPr>
          <w:rFonts w:ascii="Times New Roman" w:eastAsia="Arial" w:hAnsi="Times New Roman" w:cs="Times New Roman"/>
          <w:sz w:val="26"/>
          <w:szCs w:val="26"/>
        </w:rPr>
        <w:t>, 923 F.2d 1557, 1564 (11</w:t>
      </w:r>
      <w:r w:rsidRPr="00503874">
        <w:rPr>
          <w:rFonts w:ascii="Times New Roman" w:eastAsia="Arial" w:hAnsi="Times New Roman" w:cs="Times New Roman"/>
          <w:sz w:val="26"/>
          <w:szCs w:val="26"/>
          <w:vertAlign w:val="superscript"/>
        </w:rPr>
        <w:t>th</w:t>
      </w:r>
      <w:r w:rsidRPr="00503874">
        <w:rPr>
          <w:rFonts w:ascii="Times New Roman" w:eastAsia="Arial" w:hAnsi="Times New Roman" w:cs="Times New Roman"/>
          <w:sz w:val="26"/>
          <w:szCs w:val="26"/>
        </w:rPr>
        <w:t xml:space="preserve"> Cir. 1991).</w:t>
      </w:r>
    </w:p>
    <w:p w:rsidR="003A75E9" w:rsidRPr="00503874" w:rsidRDefault="003A75E9" w:rsidP="003A75E9">
      <w:pPr>
        <w:spacing w:after="0" w:line="240" w:lineRule="auto"/>
        <w:jc w:val="both"/>
        <w:rPr>
          <w:rFonts w:ascii="Times New Roman" w:eastAsia="Arial" w:hAnsi="Times New Roman" w:cs="Times New Roman"/>
          <w:sz w:val="26"/>
          <w:szCs w:val="26"/>
        </w:rPr>
      </w:pPr>
    </w:p>
    <w:p w:rsidR="003A75E9" w:rsidRPr="00503874" w:rsidRDefault="003A75E9" w:rsidP="003A75E9">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If the determination of whether the Defendant acted within or without the limits of lawful authority is dependent upon the presence of “probable cause,” an instruction defining probable cause, tailored to the case, must be included in the charge. For an example of a “probable cause” instruction, </w:t>
      </w:r>
      <w:r w:rsidRPr="00862C4A">
        <w:rPr>
          <w:rFonts w:ascii="Times New Roman" w:eastAsia="Arial" w:hAnsi="Times New Roman" w:cs="Times New Roman"/>
          <w:i/>
          <w:sz w:val="26"/>
          <w:szCs w:val="26"/>
        </w:rPr>
        <w:t>see</w:t>
      </w:r>
      <w:r w:rsidRPr="00503874">
        <w:rPr>
          <w:rFonts w:ascii="Times New Roman" w:eastAsia="Arial" w:hAnsi="Times New Roman" w:cs="Times New Roman"/>
          <w:sz w:val="26"/>
          <w:szCs w:val="26"/>
        </w:rPr>
        <w:t xml:space="preserve"> Federal Claims Instruction 2.2, Pattern Jury Instructions (Civil Cases).</w:t>
      </w:r>
    </w:p>
    <w:p w:rsidR="003A75E9" w:rsidRPr="00503874" w:rsidRDefault="003A75E9" w:rsidP="003A75E9">
      <w:pPr>
        <w:spacing w:after="0" w:line="240" w:lineRule="auto"/>
        <w:jc w:val="both"/>
        <w:rPr>
          <w:rFonts w:ascii="Times New Roman" w:eastAsia="Arial" w:hAnsi="Times New Roman" w:cs="Times New Roman"/>
          <w:sz w:val="26"/>
          <w:szCs w:val="26"/>
        </w:rPr>
      </w:pPr>
    </w:p>
    <w:p w:rsidR="003A75E9" w:rsidRPr="00503874" w:rsidRDefault="003A75E9" w:rsidP="003A75E9">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The civil action requirement that the alleged constitutional infringement be “clearly established” under substantially similar circumstances in order to overcome qualified immunity is equally applicable in criminal prosecutions in the sense that the unlawfulness of the conduct must be apparent in the light of pre-existing case law so as to give “fair warning” to the accused offender. </w:t>
      </w:r>
      <w:r w:rsidRPr="00862C4A">
        <w:rPr>
          <w:rFonts w:ascii="Times New Roman" w:eastAsia="Arial" w:hAnsi="Times New Roman" w:cs="Times New Roman"/>
          <w:i/>
          <w:sz w:val="26"/>
          <w:szCs w:val="26"/>
        </w:rPr>
        <w:t>United States v. Lanier</w:t>
      </w:r>
      <w:r w:rsidRPr="00503874">
        <w:rPr>
          <w:rFonts w:ascii="Times New Roman" w:eastAsia="Arial" w:hAnsi="Times New Roman" w:cs="Times New Roman"/>
          <w:sz w:val="26"/>
          <w:szCs w:val="26"/>
        </w:rPr>
        <w:t xml:space="preserve">, 520 U.S. 259, 117 S. Ct. 1219 (1997). </w:t>
      </w:r>
      <w:r w:rsidRPr="00862C4A">
        <w:rPr>
          <w:rFonts w:ascii="Times New Roman" w:eastAsia="Arial" w:hAnsi="Times New Roman" w:cs="Times New Roman"/>
          <w:i/>
          <w:sz w:val="26"/>
          <w:szCs w:val="26"/>
        </w:rPr>
        <w:t>See also Marsh v. Butler County</w:t>
      </w:r>
      <w:r w:rsidRPr="00503874">
        <w:rPr>
          <w:rFonts w:ascii="Times New Roman" w:eastAsia="Arial" w:hAnsi="Times New Roman" w:cs="Times New Roman"/>
          <w:sz w:val="26"/>
          <w:szCs w:val="26"/>
        </w:rPr>
        <w:t>, 268 F.3d 1014, 1031 n.9 (11</w:t>
      </w:r>
      <w:r w:rsidRPr="00503874">
        <w:rPr>
          <w:rFonts w:ascii="Times New Roman" w:eastAsia="Arial" w:hAnsi="Times New Roman" w:cs="Times New Roman"/>
          <w:sz w:val="26"/>
          <w:szCs w:val="26"/>
          <w:vertAlign w:val="superscript"/>
        </w:rPr>
        <w:t>th</w:t>
      </w:r>
      <w:r w:rsidRPr="00503874">
        <w:rPr>
          <w:rFonts w:ascii="Times New Roman" w:eastAsia="Arial" w:hAnsi="Times New Roman" w:cs="Times New Roman"/>
          <w:sz w:val="26"/>
          <w:szCs w:val="26"/>
        </w:rPr>
        <w:t xml:space="preserve"> Cir. 2001).</w:t>
      </w:r>
    </w:p>
    <w:p w:rsidR="003A75E9" w:rsidRPr="00503874" w:rsidRDefault="003A75E9" w:rsidP="003A75E9">
      <w:pPr>
        <w:spacing w:after="0" w:line="240" w:lineRule="auto"/>
        <w:jc w:val="both"/>
        <w:rPr>
          <w:rFonts w:ascii="Times New Roman" w:eastAsia="Arial" w:hAnsi="Times New Roman" w:cs="Times New Roman"/>
          <w:sz w:val="26"/>
          <w:szCs w:val="26"/>
        </w:rPr>
      </w:pPr>
    </w:p>
    <w:p w:rsidR="00725167" w:rsidRPr="003A75E9" w:rsidRDefault="003A75E9" w:rsidP="003A75E9">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The committee believes that the general definition of “willfully” in Basic Instruction 9.1A would usually apply to this crime.</w:t>
      </w:r>
      <w:bookmarkEnd w:id="0"/>
    </w:p>
    <w:sectPr w:rsidR="00725167" w:rsidRPr="003A75E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997" w:rsidRDefault="00170997" w:rsidP="00170997">
      <w:pPr>
        <w:spacing w:after="0" w:line="240" w:lineRule="auto"/>
      </w:pPr>
      <w:r>
        <w:separator/>
      </w:r>
    </w:p>
  </w:endnote>
  <w:endnote w:type="continuationSeparator" w:id="0">
    <w:p w:rsidR="00170997" w:rsidRDefault="00170997" w:rsidP="00170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997" w:rsidRDefault="00170997" w:rsidP="00170997">
      <w:pPr>
        <w:spacing w:after="0" w:line="240" w:lineRule="auto"/>
      </w:pPr>
      <w:r>
        <w:separator/>
      </w:r>
    </w:p>
  </w:footnote>
  <w:footnote w:type="continuationSeparator" w:id="0">
    <w:p w:rsidR="00170997" w:rsidRDefault="00170997" w:rsidP="0017099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3583F"/>
    <w:rsid w:val="00091548"/>
    <w:rsid w:val="000C32C1"/>
    <w:rsid w:val="00135397"/>
    <w:rsid w:val="00157747"/>
    <w:rsid w:val="00170997"/>
    <w:rsid w:val="00194E82"/>
    <w:rsid w:val="001E5B53"/>
    <w:rsid w:val="00236275"/>
    <w:rsid w:val="00245EF2"/>
    <w:rsid w:val="002604B9"/>
    <w:rsid w:val="003067A0"/>
    <w:rsid w:val="0038184D"/>
    <w:rsid w:val="003A75E9"/>
    <w:rsid w:val="00406A43"/>
    <w:rsid w:val="004C148A"/>
    <w:rsid w:val="00503A01"/>
    <w:rsid w:val="00511CE4"/>
    <w:rsid w:val="0056064A"/>
    <w:rsid w:val="005C4DB9"/>
    <w:rsid w:val="00615301"/>
    <w:rsid w:val="006179FB"/>
    <w:rsid w:val="00632C46"/>
    <w:rsid w:val="006B1FC0"/>
    <w:rsid w:val="00725167"/>
    <w:rsid w:val="00780FDD"/>
    <w:rsid w:val="00783A2A"/>
    <w:rsid w:val="0081575C"/>
    <w:rsid w:val="00862C4A"/>
    <w:rsid w:val="008B4118"/>
    <w:rsid w:val="008C025F"/>
    <w:rsid w:val="008E4BA2"/>
    <w:rsid w:val="009458BA"/>
    <w:rsid w:val="009745AC"/>
    <w:rsid w:val="009F5DAD"/>
    <w:rsid w:val="00A355FD"/>
    <w:rsid w:val="00A66EA6"/>
    <w:rsid w:val="00AA01A6"/>
    <w:rsid w:val="00AC24E2"/>
    <w:rsid w:val="00AE20D4"/>
    <w:rsid w:val="00AF2C77"/>
    <w:rsid w:val="00B85D99"/>
    <w:rsid w:val="00B930F5"/>
    <w:rsid w:val="00BA1F2B"/>
    <w:rsid w:val="00BD01A4"/>
    <w:rsid w:val="00BE645C"/>
    <w:rsid w:val="00CC4195"/>
    <w:rsid w:val="00CD51F7"/>
    <w:rsid w:val="00CD734E"/>
    <w:rsid w:val="00CE7DC5"/>
    <w:rsid w:val="00CF4F9A"/>
    <w:rsid w:val="00D163A7"/>
    <w:rsid w:val="00D7262F"/>
    <w:rsid w:val="00DA00D9"/>
    <w:rsid w:val="00DC18AE"/>
    <w:rsid w:val="00DE7E97"/>
    <w:rsid w:val="00DE7F68"/>
    <w:rsid w:val="00E20CB0"/>
    <w:rsid w:val="00E31401"/>
    <w:rsid w:val="00E419F1"/>
    <w:rsid w:val="00E42DFC"/>
    <w:rsid w:val="00E627E0"/>
    <w:rsid w:val="00E85563"/>
    <w:rsid w:val="00EB1384"/>
    <w:rsid w:val="00F27B7F"/>
    <w:rsid w:val="00FA4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1709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0997"/>
  </w:style>
  <w:style w:type="paragraph" w:styleId="Footer">
    <w:name w:val="footer"/>
    <w:basedOn w:val="Normal"/>
    <w:link w:val="FooterChar"/>
    <w:uiPriority w:val="99"/>
    <w:unhideWhenUsed/>
    <w:rsid w:val="001709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9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1709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0997"/>
  </w:style>
  <w:style w:type="paragraph" w:styleId="Footer">
    <w:name w:val="footer"/>
    <w:basedOn w:val="Normal"/>
    <w:link w:val="FooterChar"/>
    <w:uiPriority w:val="99"/>
    <w:unhideWhenUsed/>
    <w:rsid w:val="001709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9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386</Words>
  <Characters>2202</Characters>
  <Application>Microsoft Office Word</Application>
  <DocSecurity>0</DocSecurity>
  <Lines>18</Lines>
  <Paragraphs>5</Paragraphs>
  <ScaleCrop>false</ScaleCrop>
  <LinksUpToDate>false</LinksUpToDate>
  <CharactersWithSpaces>2583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2014-03-31T23:20:00Z</dcterms:created>
  <dcterms:modified xsi:type="dcterms:W3CDTF">2014-06-19T14:48:00Z</dcterms:modified>
</cp:coreProperties>
</file>