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A1C" w:rsidRDefault="00696A1C" w:rsidP="00696A1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696A1C" w:rsidRDefault="00696A1C" w:rsidP="00696A1C">
      <w:pPr>
        <w:spacing w:after="0" w:line="240" w:lineRule="auto"/>
        <w:jc w:val="both"/>
        <w:rPr>
          <w:rFonts w:ascii="Times New Roman" w:eastAsia="Arial" w:hAnsi="Times New Roman"/>
          <w:sz w:val="26"/>
          <w:szCs w:val="26"/>
        </w:rPr>
      </w:pPr>
    </w:p>
    <w:p w:rsidR="00696A1C" w:rsidRDefault="00696A1C" w:rsidP="00696A1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2313 provides:</w:t>
      </w:r>
    </w:p>
    <w:p w:rsidR="00696A1C" w:rsidRDefault="00696A1C" w:rsidP="00696A1C">
      <w:pPr>
        <w:spacing w:after="0" w:line="240" w:lineRule="auto"/>
        <w:jc w:val="both"/>
        <w:rPr>
          <w:rFonts w:ascii="Times New Roman" w:eastAsia="Arial" w:hAnsi="Times New Roman"/>
          <w:sz w:val="26"/>
          <w:szCs w:val="26"/>
        </w:rPr>
      </w:pPr>
    </w:p>
    <w:p w:rsidR="00696A1C" w:rsidRDefault="00696A1C" w:rsidP="00696A1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receives, possesses, conceals, stores</w:t>
      </w:r>
      <w:proofErr w:type="gramStart"/>
      <w:r>
        <w:rPr>
          <w:rFonts w:ascii="Times New Roman" w:eastAsia="Arial" w:hAnsi="Times New Roman"/>
          <w:sz w:val="26"/>
          <w:szCs w:val="26"/>
        </w:rPr>
        <w:t>,</w:t>
      </w:r>
      <w:r w:rsidR="00A9017A">
        <w:rPr>
          <w:rFonts w:ascii="Times New Roman" w:eastAsia="Arial" w:hAnsi="Times New Roman"/>
          <w:sz w:val="26"/>
          <w:szCs w:val="26"/>
        </w:rPr>
        <w:t>…</w:t>
      </w:r>
      <w:proofErr w:type="gramEnd"/>
      <w:r w:rsidR="00A9017A">
        <w:rPr>
          <w:rFonts w:ascii="Times New Roman" w:eastAsia="Arial" w:hAnsi="Times New Roman"/>
          <w:sz w:val="26"/>
          <w:szCs w:val="26"/>
        </w:rPr>
        <w:t xml:space="preserve"> </w:t>
      </w:r>
      <w:r>
        <w:rPr>
          <w:rFonts w:ascii="Times New Roman" w:eastAsia="Arial" w:hAnsi="Times New Roman"/>
          <w:sz w:val="26"/>
          <w:szCs w:val="26"/>
        </w:rPr>
        <w:t>sells or disposes of any motor vehicle... which has crossed a State or United States boundary after being stolen, knowing the same to have been stolen, [shall be guilty of an offense against the United States].</w:t>
      </w:r>
    </w:p>
    <w:p w:rsidR="00696A1C" w:rsidRDefault="00696A1C" w:rsidP="00696A1C">
      <w:pPr>
        <w:spacing w:after="0" w:line="240" w:lineRule="auto"/>
        <w:jc w:val="both"/>
        <w:rPr>
          <w:rFonts w:ascii="Times New Roman" w:eastAsia="Arial" w:hAnsi="Times New Roman" w:cs="Times New Roman"/>
          <w:sz w:val="26"/>
          <w:szCs w:val="26"/>
        </w:rPr>
      </w:pPr>
    </w:p>
    <w:p w:rsidR="00696A1C" w:rsidRDefault="00696A1C" w:rsidP="00696A1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w:t>
      </w:r>
    </w:p>
    <w:p w:rsidR="00696A1C" w:rsidRDefault="00696A1C" w:rsidP="00696A1C">
      <w:pPr>
        <w:spacing w:after="0" w:line="240" w:lineRule="auto"/>
        <w:jc w:val="both"/>
        <w:rPr>
          <w:rFonts w:ascii="Times New Roman" w:eastAsia="Arial" w:hAnsi="Times New Roman" w:cs="Times New Roman"/>
          <w:sz w:val="26"/>
          <w:szCs w:val="26"/>
        </w:rPr>
      </w:pPr>
    </w:p>
    <w:p w:rsidR="00696A1C" w:rsidRDefault="00696A1C" w:rsidP="00696A1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An indictment often alleges that the defendant “received, possessed, concealed, sold, and disposed of” a particular motor vehicle. It is not necessary for the government to prove that </w:t>
      </w:r>
      <w:r>
        <w:rPr>
          <w:rFonts w:ascii="Times New Roman" w:eastAsia="Arial" w:hAnsi="Times New Roman" w:cs="Times New Roman"/>
          <w:sz w:val="26"/>
          <w:szCs w:val="26"/>
          <w:u w:val="single"/>
        </w:rPr>
        <w:t>all</w:t>
      </w:r>
      <w:r>
        <w:rPr>
          <w:rFonts w:ascii="Times New Roman" w:eastAsia="Arial" w:hAnsi="Times New Roman" w:cs="Times New Roman"/>
          <w:sz w:val="26"/>
          <w:szCs w:val="26"/>
        </w:rPr>
        <w:t xml:space="preserve"> of these acts were in fact committed because any one of them is a violation of the statute. The Fifth Circuit held, however, that the statute describes two conceptual types of wrongdoing – housing of the vehicle and marketing of the vehicle – and the jury must agree unanimously upon which way the offense was committed. </w:t>
      </w:r>
      <w:proofErr w:type="gramStart"/>
      <w:r w:rsidRPr="00A9017A">
        <w:rPr>
          <w:rFonts w:ascii="Times New Roman" w:eastAsia="Arial" w:hAnsi="Times New Roman" w:cs="Times New Roman"/>
          <w:i/>
          <w:sz w:val="26"/>
          <w:szCs w:val="26"/>
        </w:rPr>
        <w:t>United States v. Gipson</w:t>
      </w:r>
      <w:r>
        <w:rPr>
          <w:rFonts w:ascii="Times New Roman" w:eastAsia="Arial" w:hAnsi="Times New Roman" w:cs="Times New Roman"/>
          <w:sz w:val="26"/>
          <w:szCs w:val="26"/>
        </w:rPr>
        <w:t>, 553 F.2d 453 (5</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1977).</w:t>
      </w:r>
      <w:proofErr w:type="gramEnd"/>
      <w:r>
        <w:rPr>
          <w:rFonts w:ascii="Times New Roman" w:eastAsia="Arial" w:hAnsi="Times New Roman" w:cs="Times New Roman"/>
          <w:sz w:val="26"/>
          <w:szCs w:val="26"/>
        </w:rPr>
        <w:t xml:space="preserve"> A plurality of the Supreme Court criticized the reasoning of </w:t>
      </w:r>
      <w:r w:rsidRPr="00A9017A">
        <w:rPr>
          <w:rFonts w:ascii="Times New Roman" w:eastAsia="Arial" w:hAnsi="Times New Roman" w:cs="Times New Roman"/>
          <w:i/>
          <w:sz w:val="26"/>
          <w:szCs w:val="26"/>
        </w:rPr>
        <w:t>Gipson</w:t>
      </w:r>
      <w:r>
        <w:rPr>
          <w:rFonts w:ascii="Times New Roman" w:eastAsia="Arial" w:hAnsi="Times New Roman" w:cs="Times New Roman"/>
          <w:sz w:val="26"/>
          <w:szCs w:val="26"/>
        </w:rPr>
        <w:t xml:space="preserve"> in </w:t>
      </w:r>
      <w:proofErr w:type="spellStart"/>
      <w:r w:rsidRPr="00A9017A">
        <w:rPr>
          <w:rFonts w:ascii="Times New Roman" w:eastAsia="Arial" w:hAnsi="Times New Roman" w:cs="Times New Roman"/>
          <w:i/>
          <w:sz w:val="26"/>
          <w:szCs w:val="26"/>
        </w:rPr>
        <w:t>Schad</w:t>
      </w:r>
      <w:proofErr w:type="spellEnd"/>
      <w:r w:rsidRPr="00A9017A">
        <w:rPr>
          <w:rFonts w:ascii="Times New Roman" w:eastAsia="Arial" w:hAnsi="Times New Roman" w:cs="Times New Roman"/>
          <w:i/>
          <w:sz w:val="26"/>
          <w:szCs w:val="26"/>
        </w:rPr>
        <w:t xml:space="preserve"> v. Arizona</w:t>
      </w:r>
      <w:r>
        <w:rPr>
          <w:rFonts w:ascii="Times New Roman" w:eastAsia="Arial" w:hAnsi="Times New Roman" w:cs="Times New Roman"/>
          <w:sz w:val="26"/>
          <w:szCs w:val="26"/>
        </w:rPr>
        <w:t xml:space="preserve">, 501 U.S. 624, 111 S. Ct. 2491 (1991), and the Eleventh Circuit has questioned </w:t>
      </w:r>
      <w:r w:rsidRPr="00A9017A">
        <w:rPr>
          <w:rFonts w:ascii="Times New Roman" w:eastAsia="Arial" w:hAnsi="Times New Roman" w:cs="Times New Roman"/>
          <w:i/>
          <w:sz w:val="26"/>
          <w:szCs w:val="26"/>
        </w:rPr>
        <w:t>Gipson</w:t>
      </w:r>
      <w:r>
        <w:rPr>
          <w:rFonts w:ascii="Times New Roman" w:eastAsia="Arial" w:hAnsi="Times New Roman" w:cs="Times New Roman"/>
          <w:sz w:val="26"/>
          <w:szCs w:val="26"/>
        </w:rPr>
        <w:t xml:space="preserve">’s validity in light of </w:t>
      </w:r>
      <w:proofErr w:type="spellStart"/>
      <w:r w:rsidRPr="00A9017A">
        <w:rPr>
          <w:rFonts w:ascii="Times New Roman" w:eastAsia="Arial" w:hAnsi="Times New Roman" w:cs="Times New Roman"/>
          <w:i/>
          <w:sz w:val="26"/>
          <w:szCs w:val="26"/>
        </w:rPr>
        <w:t>Schad</w:t>
      </w:r>
      <w:proofErr w:type="spellEnd"/>
      <w:r w:rsidRPr="00A9017A">
        <w:rPr>
          <w:rFonts w:ascii="Times New Roman" w:eastAsia="Arial" w:hAnsi="Times New Roman" w:cs="Times New Roman"/>
          <w:sz w:val="26"/>
          <w:szCs w:val="26"/>
        </w:rPr>
        <w:t xml:space="preserve">. </w:t>
      </w:r>
      <w:r w:rsidRPr="00A9017A">
        <w:rPr>
          <w:rFonts w:ascii="Times New Roman" w:eastAsia="Arial" w:hAnsi="Times New Roman" w:cs="Times New Roman"/>
          <w:i/>
          <w:sz w:val="26"/>
          <w:szCs w:val="26"/>
        </w:rPr>
        <w:t>United States v. Verbitskaya</w:t>
      </w:r>
      <w:r>
        <w:rPr>
          <w:rFonts w:ascii="Times New Roman" w:eastAsia="Arial" w:hAnsi="Times New Roman" w:cs="Times New Roman"/>
          <w:sz w:val="26"/>
          <w:szCs w:val="26"/>
        </w:rPr>
        <w:t>, 406 F.3d 1324, 1334 n.12 (11</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 (declining to follow </w:t>
      </w:r>
      <w:r w:rsidRPr="00A9017A">
        <w:rPr>
          <w:rFonts w:ascii="Times New Roman" w:eastAsia="Arial" w:hAnsi="Times New Roman" w:cs="Times New Roman"/>
          <w:i/>
          <w:sz w:val="26"/>
          <w:szCs w:val="26"/>
        </w:rPr>
        <w:t>Gipson</w:t>
      </w:r>
      <w:r>
        <w:rPr>
          <w:rFonts w:ascii="Times New Roman" w:eastAsia="Arial" w:hAnsi="Times New Roman" w:cs="Times New Roman"/>
          <w:sz w:val="26"/>
          <w:szCs w:val="26"/>
        </w:rPr>
        <w:t xml:space="preserve"> and finding that the district court did not need to require a unanimous verdict on the government’s four alternative theories on how interstate commerce was affected by extortion).</w:t>
      </w:r>
    </w:p>
    <w:p w:rsidR="00696A1C" w:rsidRDefault="00696A1C" w:rsidP="00696A1C">
      <w:pPr>
        <w:spacing w:after="0" w:line="240" w:lineRule="auto"/>
        <w:jc w:val="both"/>
        <w:rPr>
          <w:rFonts w:ascii="Times New Roman" w:eastAsia="Arial" w:hAnsi="Times New Roman" w:cs="Times New Roman"/>
          <w:sz w:val="26"/>
          <w:szCs w:val="26"/>
        </w:rPr>
      </w:pPr>
    </w:p>
    <w:p w:rsidR="00696A1C" w:rsidRPr="00DB2F6D" w:rsidRDefault="00696A1C" w:rsidP="00696A1C">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Where “concealment” is an issue, </w:t>
      </w:r>
      <w:r w:rsidRPr="00A9017A">
        <w:rPr>
          <w:rFonts w:ascii="Times New Roman" w:eastAsia="Arial" w:hAnsi="Times New Roman" w:cs="Times New Roman"/>
          <w:i/>
          <w:sz w:val="26"/>
          <w:szCs w:val="26"/>
        </w:rPr>
        <w:t>see United States v. Casey</w:t>
      </w:r>
      <w:r>
        <w:rPr>
          <w:rFonts w:ascii="Times New Roman" w:eastAsia="Arial" w:hAnsi="Times New Roman" w:cs="Times New Roman"/>
          <w:sz w:val="26"/>
          <w:szCs w:val="26"/>
        </w:rPr>
        <w:t>, 540 F.2d 811 (5</w:t>
      </w:r>
      <w:r w:rsidRPr="00DB2F6D">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1976) (“Although the term ‘conceal’ as used in § 2313 is not limited to physically secreting the vehicle, all of the cases which have found sufficient evidence to sustain a conviction for concealment have involved some overt physical act on the part of the Defendant. For example, this Circuit, as others, has held that acts such as altering title papers, changing vehicle identification numbers, changing license plates, or making false statements on title applications, fall within the broad definition of the term.”)</w:t>
      </w:r>
    </w:p>
    <w:p w:rsidR="00696A1C" w:rsidRDefault="00696A1C" w:rsidP="00696A1C">
      <w:pPr>
        <w:spacing w:after="0" w:line="240" w:lineRule="auto"/>
        <w:jc w:val="both"/>
        <w:rPr>
          <w:rFonts w:ascii="Times New Roman" w:eastAsia="Arial" w:hAnsi="Times New Roman" w:cs="Times New Roman"/>
          <w:sz w:val="26"/>
          <w:szCs w:val="26"/>
        </w:rPr>
      </w:pPr>
    </w:p>
    <w:p w:rsidR="00725167" w:rsidRPr="00696A1C" w:rsidRDefault="00696A1C" w:rsidP="00696A1C">
      <w:pPr>
        <w:spacing w:after="0" w:line="240" w:lineRule="auto"/>
        <w:jc w:val="both"/>
        <w:rPr>
          <w:rFonts w:ascii="Times New Roman" w:eastAsia="Arial" w:hAnsi="Times New Roman" w:cs="Times New Roman"/>
          <w:sz w:val="26"/>
          <w:szCs w:val="26"/>
        </w:rPr>
      </w:pPr>
      <w:proofErr w:type="gramStart"/>
      <w:r w:rsidRPr="00A9017A">
        <w:rPr>
          <w:rFonts w:ascii="Times New Roman" w:eastAsia="Arial" w:hAnsi="Times New Roman" w:cs="Times New Roman"/>
          <w:i/>
          <w:sz w:val="26"/>
          <w:szCs w:val="26"/>
        </w:rPr>
        <w:t>See</w:t>
      </w:r>
      <w:r>
        <w:rPr>
          <w:rFonts w:ascii="Times New Roman" w:eastAsia="Arial" w:hAnsi="Times New Roman" w:cs="Times New Roman"/>
          <w:sz w:val="26"/>
          <w:szCs w:val="26"/>
        </w:rPr>
        <w:t xml:space="preserve"> definition of “State” at 18 U.S.C. § 2313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bookmarkEnd w:id="0"/>
      <w:proofErr w:type="gramEnd"/>
    </w:p>
    <w:sectPr w:rsidR="00725167" w:rsidRPr="00696A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DFC" w:rsidRDefault="00CA5DFC" w:rsidP="00CA5DFC">
      <w:pPr>
        <w:spacing w:after="0" w:line="240" w:lineRule="auto"/>
      </w:pPr>
      <w:r>
        <w:separator/>
      </w:r>
    </w:p>
  </w:endnote>
  <w:endnote w:type="continuationSeparator" w:id="0">
    <w:p w:rsidR="00CA5DFC" w:rsidRDefault="00CA5DFC" w:rsidP="00CA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DFC" w:rsidRDefault="00CA5DFC" w:rsidP="00CA5DFC">
      <w:pPr>
        <w:spacing w:after="0" w:line="240" w:lineRule="auto"/>
      </w:pPr>
      <w:r>
        <w:separator/>
      </w:r>
    </w:p>
  </w:footnote>
  <w:footnote w:type="continuationSeparator" w:id="0">
    <w:p w:rsidR="00CA5DFC" w:rsidRDefault="00CA5DFC" w:rsidP="00CA5D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3B81"/>
    <w:rsid w:val="004A1AAC"/>
    <w:rsid w:val="004A354F"/>
    <w:rsid w:val="004C148A"/>
    <w:rsid w:val="004C531E"/>
    <w:rsid w:val="004D06A2"/>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0D47"/>
    <w:rsid w:val="009745AC"/>
    <w:rsid w:val="00980E88"/>
    <w:rsid w:val="009A4745"/>
    <w:rsid w:val="009B3EC8"/>
    <w:rsid w:val="009C1E78"/>
    <w:rsid w:val="009E1B73"/>
    <w:rsid w:val="009F5DAD"/>
    <w:rsid w:val="00A355FD"/>
    <w:rsid w:val="00A66EA6"/>
    <w:rsid w:val="00A746F3"/>
    <w:rsid w:val="00A82412"/>
    <w:rsid w:val="00A9017A"/>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5DFC"/>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4802"/>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A5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FC"/>
  </w:style>
  <w:style w:type="paragraph" w:styleId="Footer">
    <w:name w:val="footer"/>
    <w:basedOn w:val="Normal"/>
    <w:link w:val="FooterChar"/>
    <w:uiPriority w:val="99"/>
    <w:unhideWhenUsed/>
    <w:rsid w:val="00CA5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A5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FC"/>
  </w:style>
  <w:style w:type="paragraph" w:styleId="Footer">
    <w:name w:val="footer"/>
    <w:basedOn w:val="Normal"/>
    <w:link w:val="FooterChar"/>
    <w:uiPriority w:val="99"/>
    <w:unhideWhenUsed/>
    <w:rsid w:val="00CA5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2014-04-01T15:39:00Z</dcterms:created>
  <dcterms:modified xsi:type="dcterms:W3CDTF">2014-06-17T13:17:00Z</dcterms:modified>
</cp:coreProperties>
</file>