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8A929" w14:textId="5B753882" w:rsidR="00FE1D1E" w:rsidRPr="00FC45C4" w:rsidRDefault="00FE1D1E" w:rsidP="00FC45C4">
      <w:pPr>
        <w:pStyle w:val="BodyTextIndent"/>
        <w:spacing w:after="200" w:line="240" w:lineRule="auto"/>
        <w:ind w:firstLine="0"/>
        <w:jc w:val="both"/>
        <w:rPr>
          <w:rFonts w:cs="Times New Roman"/>
          <w:color w:val="000000" w:themeColor="text1"/>
          <w:sz w:val="26"/>
          <w:szCs w:val="26"/>
        </w:rPr>
      </w:pPr>
      <w:r w:rsidRPr="00FC45C4">
        <w:rPr>
          <w:rFonts w:cs="Times New Roman"/>
          <w:b/>
          <w:color w:val="000000" w:themeColor="text1"/>
          <w:sz w:val="26"/>
          <w:szCs w:val="26"/>
          <w:u w:val="single"/>
        </w:rPr>
        <w:t>ANNOTATIONS AND COMMENTS</w:t>
      </w:r>
    </w:p>
    <w:p w14:paraId="51E85B9F" w14:textId="77777777" w:rsidR="00FE1D1E" w:rsidRPr="00FC45C4" w:rsidRDefault="00FE1D1E" w:rsidP="00150BB9">
      <w:pPr>
        <w:spacing w:after="200" w:line="240" w:lineRule="auto"/>
        <w:jc w:val="both"/>
        <w:rPr>
          <w:rFonts w:cs="Times New Roman"/>
          <w:color w:val="000000" w:themeColor="text1"/>
          <w:sz w:val="26"/>
          <w:szCs w:val="26"/>
        </w:rPr>
      </w:pPr>
      <w:r w:rsidRPr="00FC45C4">
        <w:rPr>
          <w:rFonts w:cs="Times New Roman"/>
          <w:color w:val="000000" w:themeColor="text1"/>
          <w:sz w:val="26"/>
          <w:szCs w:val="26"/>
        </w:rPr>
        <w:t>18 USC § 2422(b) provides:</w:t>
      </w:r>
    </w:p>
    <w:p w14:paraId="28617604" w14:textId="77777777" w:rsidR="00FE1D1E" w:rsidRPr="00FC45C4" w:rsidRDefault="00FE1D1E" w:rsidP="00FC45C4">
      <w:pPr>
        <w:spacing w:after="200" w:line="240" w:lineRule="auto"/>
        <w:ind w:firstLine="720"/>
        <w:jc w:val="both"/>
        <w:rPr>
          <w:rFonts w:cs="Times New Roman"/>
          <w:color w:val="000000" w:themeColor="text1"/>
          <w:sz w:val="26"/>
          <w:szCs w:val="26"/>
        </w:rPr>
      </w:pPr>
      <w:r w:rsidRPr="00FC45C4">
        <w:rPr>
          <w:rFonts w:cs="Times New Roman"/>
          <w:color w:val="000000" w:themeColor="text1"/>
          <w:sz w:val="26"/>
          <w:szCs w:val="26"/>
        </w:rPr>
        <w:t xml:space="preserve">(b) Whoever, using the mail or any facility or means of interstate or foreign commerce, or within the special maritime and territorial jurisdiction of the United States knowingly persuades, induces, entices, or coerces any individual who has not attained the age of 18 years, to engage in prostitution or any sexual activity for which any person can be charged with a criminal offense, or attempts to do so, shall be fined under this title and imprisoned not less than 10 years or for life.  </w:t>
      </w:r>
    </w:p>
    <w:p w14:paraId="1E9F93B7" w14:textId="1CF2B467" w:rsidR="00FE1D1E" w:rsidRPr="00FC45C4" w:rsidRDefault="00FE1D1E" w:rsidP="00FC45C4">
      <w:pPr>
        <w:spacing w:after="200" w:line="240" w:lineRule="auto"/>
        <w:ind w:firstLine="720"/>
        <w:jc w:val="both"/>
        <w:rPr>
          <w:rFonts w:cs="Times New Roman"/>
          <w:color w:val="000000" w:themeColor="text1"/>
          <w:sz w:val="26"/>
          <w:szCs w:val="26"/>
        </w:rPr>
      </w:pPr>
      <w:r w:rsidRPr="00FC45C4">
        <w:rPr>
          <w:rFonts w:cs="Times New Roman"/>
          <w:color w:val="000000" w:themeColor="text1"/>
          <w:sz w:val="26"/>
          <w:szCs w:val="26"/>
        </w:rPr>
        <w:t xml:space="preserve">Maximum Penalty: </w:t>
      </w:r>
      <w:r w:rsidRPr="00FC45C4">
        <w:rPr>
          <w:rFonts w:cs="Times New Roman"/>
          <w:color w:val="000000" w:themeColor="text1"/>
          <w:sz w:val="26"/>
          <w:szCs w:val="26"/>
        </w:rPr>
        <w:tab/>
        <w:t>Life imprisonment and applicable fine.  Minimum sentence is ten (1</w:t>
      </w:r>
      <w:bookmarkStart w:id="0" w:name="_GoBack"/>
      <w:bookmarkEnd w:id="0"/>
      <w:r w:rsidRPr="00FC45C4">
        <w:rPr>
          <w:rFonts w:cs="Times New Roman"/>
          <w:color w:val="000000" w:themeColor="text1"/>
          <w:sz w:val="26"/>
          <w:szCs w:val="26"/>
        </w:rPr>
        <w:t xml:space="preserve">0) years of imprisonment and applicable fine.  18 U.S.C. § 3559 provides for a mandatory life sentence for repeated sex offenses against children.  This offense also carries a minimum of five years of supervised release up to a maximum of lifetime supervised release.  </w:t>
      </w:r>
    </w:p>
    <w:p w14:paraId="25FF8C24" w14:textId="3806CF6C" w:rsidR="00BE53BC" w:rsidRPr="00FC45C4" w:rsidRDefault="00BE53BC" w:rsidP="00FC45C4">
      <w:pPr>
        <w:spacing w:after="200" w:line="240" w:lineRule="auto"/>
        <w:ind w:firstLine="720"/>
        <w:jc w:val="both"/>
        <w:rPr>
          <w:rFonts w:cs="Times New Roman"/>
          <w:color w:val="000000" w:themeColor="text1"/>
          <w:sz w:val="26"/>
          <w:szCs w:val="26"/>
        </w:rPr>
      </w:pPr>
      <w:r w:rsidRPr="00FC45C4">
        <w:rPr>
          <w:rFonts w:cs="Times New Roman"/>
          <w:i/>
          <w:sz w:val="26"/>
          <w:szCs w:val="26"/>
        </w:rPr>
        <w:t>United States v. Lee</w:t>
      </w:r>
      <w:r w:rsidRPr="00FC45C4">
        <w:rPr>
          <w:rFonts w:cs="Times New Roman"/>
          <w:sz w:val="26"/>
          <w:szCs w:val="26"/>
        </w:rPr>
        <w:t>, 603 F.3d 904, 917 (11th Cir. 2010) (“</w:t>
      </w:r>
      <w:r w:rsidRPr="00FC45C4">
        <w:rPr>
          <w:rFonts w:eastAsia="Times New Roman" w:cs="Times New Roman"/>
          <w:color w:val="000000"/>
          <w:sz w:val="26"/>
          <w:szCs w:val="26"/>
        </w:rPr>
        <w:t xml:space="preserve">We have explained what the government must establish to prove a violation of section 2422(b) when a defendant communicates directly with the target minor.  </w:t>
      </w:r>
      <w:proofErr w:type="gramStart"/>
      <w:r w:rsidRPr="00FC45C4">
        <w:rPr>
          <w:rFonts w:eastAsia="Times New Roman" w:cs="Times New Roman"/>
          <w:color w:val="000000"/>
          <w:sz w:val="26"/>
          <w:szCs w:val="26"/>
        </w:rPr>
        <w:t>With regard to</w:t>
      </w:r>
      <w:proofErr w:type="gramEnd"/>
      <w:r w:rsidRPr="00FC45C4">
        <w:rPr>
          <w:rFonts w:eastAsia="Times New Roman" w:cs="Times New Roman"/>
          <w:color w:val="000000"/>
          <w:sz w:val="26"/>
          <w:szCs w:val="26"/>
        </w:rPr>
        <w:t xml:space="preserve"> intent, the government must prove that the defendant intended to cause assent on the part of the minor, not that he acted with the specific intent to engage in sexual activity.  </w:t>
      </w:r>
      <w:proofErr w:type="gramStart"/>
      <w:r w:rsidRPr="00FC45C4">
        <w:rPr>
          <w:rFonts w:eastAsia="Times New Roman" w:cs="Times New Roman"/>
          <w:color w:val="000000"/>
          <w:sz w:val="26"/>
          <w:szCs w:val="26"/>
        </w:rPr>
        <w:t>With regard to</w:t>
      </w:r>
      <w:proofErr w:type="gramEnd"/>
      <w:r w:rsidRPr="00FC45C4">
        <w:rPr>
          <w:rFonts w:eastAsia="Times New Roman" w:cs="Times New Roman"/>
          <w:color w:val="000000"/>
          <w:sz w:val="26"/>
          <w:szCs w:val="26"/>
        </w:rPr>
        <w:t xml:space="preserve"> conduct, the government must prove that the defendant took a substantial step toward causing assent, not toward causing actual sexual contact.  Section 2422(b) expressly proscribes . . . the persuasion, inducement, enticement, or coercion of a minor to engage in illicit sexual activity, and not the sexual activity itself.  The statute criminalizes an intentional attempt to achieve a </w:t>
      </w:r>
      <w:r w:rsidRPr="00FC45C4">
        <w:rPr>
          <w:rFonts w:eastAsia="Times New Roman" w:cs="Times New Roman"/>
          <w:i/>
          <w:iCs/>
          <w:color w:val="000000"/>
          <w:sz w:val="26"/>
          <w:szCs w:val="26"/>
        </w:rPr>
        <w:t>mental</w:t>
      </w:r>
      <w:r w:rsidRPr="00FC45C4">
        <w:rPr>
          <w:rFonts w:eastAsia="Times New Roman" w:cs="Times New Roman"/>
          <w:color w:val="000000"/>
          <w:sz w:val="26"/>
          <w:szCs w:val="26"/>
        </w:rPr>
        <w:t xml:space="preserve"> state—a minor’s assent.”) (citations and internal punctuation omitted).</w:t>
      </w:r>
    </w:p>
    <w:p w14:paraId="7985C4C1" w14:textId="79952E18" w:rsidR="00FE1D1E" w:rsidRPr="00FC45C4" w:rsidRDefault="00FE1D1E" w:rsidP="00FC45C4">
      <w:pPr>
        <w:spacing w:after="200" w:line="240" w:lineRule="auto"/>
        <w:ind w:firstLine="720"/>
        <w:jc w:val="both"/>
        <w:rPr>
          <w:rFonts w:cs="Times New Roman"/>
          <w:color w:val="000000" w:themeColor="text1"/>
          <w:sz w:val="26"/>
          <w:szCs w:val="26"/>
        </w:rPr>
      </w:pPr>
      <w:r w:rsidRPr="00FC45C4">
        <w:rPr>
          <w:rFonts w:cs="Times New Roman"/>
          <w:i/>
          <w:color w:val="000000" w:themeColor="text1"/>
          <w:sz w:val="26"/>
          <w:szCs w:val="26"/>
        </w:rPr>
        <w:t>United States v. Murrell</w:t>
      </w:r>
      <w:r w:rsidRPr="00FC45C4">
        <w:rPr>
          <w:rFonts w:cs="Times New Roman"/>
          <w:color w:val="000000" w:themeColor="text1"/>
          <w:sz w:val="26"/>
          <w:szCs w:val="26"/>
        </w:rPr>
        <w:t xml:space="preserve">, 368 F.3d 1283, 1286 (11th Cir. 2004) (“Combining the definition of attempt with the plain language of § 2422(b), the government must first prove that [the defendant], using the internet, acted with a specific intent to persuade, induce, entice, or coerce a minor to engage in unlawful sex.  The underlying criminal conduct that Congress expressly proscribed in passing § 2422(b) is the persuasion, inducement, enticement, or coercion of the minor rather than the sex act itself.  That is, if a person persuaded a minor to engage in sexual conduct (e.g. with himself or a third party), without then actually committing any sex act himself, he would nevertheless violate § 2422(b).”) (internal footnotes omitted).  </w:t>
      </w:r>
    </w:p>
    <w:p w14:paraId="52A1FCB0" w14:textId="77777777" w:rsidR="00BE53BC" w:rsidRPr="00FC45C4" w:rsidRDefault="00BE53BC" w:rsidP="000970DF">
      <w:pPr>
        <w:shd w:val="clear" w:color="auto" w:fill="FFFFFF"/>
        <w:spacing w:after="200" w:line="240" w:lineRule="auto"/>
        <w:ind w:firstLine="720"/>
        <w:jc w:val="both"/>
        <w:rPr>
          <w:rFonts w:cs="Times New Roman"/>
          <w:sz w:val="26"/>
          <w:szCs w:val="26"/>
        </w:rPr>
      </w:pPr>
      <w:r w:rsidRPr="00FC45C4">
        <w:rPr>
          <w:rFonts w:eastAsia="Times New Roman" w:cs="Times New Roman"/>
          <w:color w:val="000000"/>
          <w:sz w:val="26"/>
          <w:szCs w:val="26"/>
        </w:rPr>
        <w:t xml:space="preserve">The existence of an </w:t>
      </w:r>
      <w:r w:rsidRPr="00FC45C4">
        <w:rPr>
          <w:rFonts w:eastAsia="Times New Roman" w:cs="Times New Roman"/>
          <w:color w:val="000000"/>
          <w:sz w:val="26"/>
          <w:szCs w:val="26"/>
          <w:shd w:val="clear" w:color="auto" w:fill="FFFFFF"/>
        </w:rPr>
        <w:t>actual</w:t>
      </w:r>
      <w:r w:rsidRPr="00FC45C4">
        <w:rPr>
          <w:rFonts w:eastAsia="Times New Roman" w:cs="Times New Roman"/>
          <w:color w:val="000000"/>
          <w:sz w:val="26"/>
          <w:szCs w:val="26"/>
        </w:rPr>
        <w:t xml:space="preserve"> </w:t>
      </w:r>
      <w:r w:rsidRPr="00FC45C4">
        <w:rPr>
          <w:rFonts w:eastAsia="Times New Roman" w:cs="Times New Roman"/>
          <w:color w:val="000000"/>
          <w:sz w:val="26"/>
          <w:szCs w:val="26"/>
          <w:shd w:val="clear" w:color="auto" w:fill="FFFFFF"/>
        </w:rPr>
        <w:t>minor</w:t>
      </w:r>
      <w:r w:rsidRPr="00FC45C4">
        <w:rPr>
          <w:rFonts w:eastAsia="Times New Roman" w:cs="Times New Roman"/>
          <w:color w:val="000000"/>
          <w:sz w:val="26"/>
          <w:szCs w:val="26"/>
        </w:rPr>
        <w:t xml:space="preserve"> victim is </w:t>
      </w:r>
      <w:r w:rsidRPr="00FC45C4">
        <w:rPr>
          <w:rFonts w:eastAsia="Times New Roman" w:cs="Times New Roman"/>
          <w:color w:val="000000"/>
          <w:sz w:val="26"/>
          <w:szCs w:val="26"/>
          <w:shd w:val="clear" w:color="auto" w:fill="FFFFFF"/>
        </w:rPr>
        <w:t>not</w:t>
      </w:r>
      <w:r w:rsidRPr="00FC45C4">
        <w:rPr>
          <w:rFonts w:eastAsia="Times New Roman" w:cs="Times New Roman"/>
          <w:color w:val="000000"/>
          <w:sz w:val="26"/>
          <w:szCs w:val="26"/>
        </w:rPr>
        <w:t xml:space="preserve"> </w:t>
      </w:r>
      <w:r w:rsidRPr="00FC45C4">
        <w:rPr>
          <w:rFonts w:eastAsia="Times New Roman" w:cs="Times New Roman"/>
          <w:color w:val="000000"/>
          <w:sz w:val="26"/>
          <w:szCs w:val="26"/>
          <w:shd w:val="clear" w:color="auto" w:fill="FFFFFF"/>
        </w:rPr>
        <w:t>required</w:t>
      </w:r>
      <w:r w:rsidRPr="00FC45C4">
        <w:rPr>
          <w:rFonts w:eastAsia="Times New Roman" w:cs="Times New Roman"/>
          <w:color w:val="000000"/>
          <w:sz w:val="26"/>
          <w:szCs w:val="26"/>
        </w:rPr>
        <w:t xml:space="preserve"> for an attempt conviction under § </w:t>
      </w:r>
      <w:r w:rsidRPr="00FC45C4">
        <w:rPr>
          <w:rFonts w:eastAsia="Times New Roman" w:cs="Times New Roman"/>
          <w:color w:val="000000"/>
          <w:sz w:val="26"/>
          <w:szCs w:val="26"/>
          <w:shd w:val="clear" w:color="auto" w:fill="FFFFFF"/>
        </w:rPr>
        <w:t>2422</w:t>
      </w:r>
      <w:r w:rsidRPr="00FC45C4">
        <w:rPr>
          <w:rFonts w:eastAsia="Times New Roman" w:cs="Times New Roman"/>
          <w:color w:val="000000"/>
          <w:sz w:val="26"/>
          <w:szCs w:val="26"/>
        </w:rPr>
        <w:t>(</w:t>
      </w:r>
      <w:r w:rsidRPr="00FC45C4">
        <w:rPr>
          <w:rFonts w:eastAsia="Times New Roman" w:cs="Times New Roman"/>
          <w:color w:val="000000"/>
          <w:sz w:val="26"/>
          <w:szCs w:val="26"/>
          <w:shd w:val="clear" w:color="auto" w:fill="FFFFFF"/>
        </w:rPr>
        <w:t>b</w:t>
      </w:r>
      <w:r w:rsidRPr="00FC45C4">
        <w:rPr>
          <w:rFonts w:eastAsia="Times New Roman" w:cs="Times New Roman"/>
          <w:color w:val="000000"/>
          <w:sz w:val="26"/>
          <w:szCs w:val="26"/>
        </w:rPr>
        <w:t>), so long as the defendant intended to cause assent on the part of a minor and took a substantial step toward causing assent, not toward causing actual sexual contact.</w:t>
      </w:r>
      <w:r w:rsidRPr="00FC45C4">
        <w:rPr>
          <w:rFonts w:eastAsia="Times New Roman" w:cs="Times New Roman"/>
          <w:i/>
          <w:color w:val="000000"/>
          <w:sz w:val="26"/>
          <w:szCs w:val="26"/>
        </w:rPr>
        <w:t xml:space="preserve">  United States v. </w:t>
      </w:r>
      <w:proofErr w:type="spellStart"/>
      <w:r w:rsidRPr="00FC45C4">
        <w:rPr>
          <w:rFonts w:eastAsia="Times New Roman" w:cs="Times New Roman"/>
          <w:i/>
          <w:color w:val="000000"/>
          <w:sz w:val="26"/>
          <w:szCs w:val="26"/>
        </w:rPr>
        <w:t>Jockisch</w:t>
      </w:r>
      <w:proofErr w:type="spellEnd"/>
      <w:r w:rsidRPr="00FC45C4">
        <w:rPr>
          <w:rFonts w:eastAsia="Times New Roman" w:cs="Times New Roman"/>
          <w:color w:val="000000"/>
          <w:sz w:val="26"/>
          <w:szCs w:val="26"/>
        </w:rPr>
        <w:t>, 857 F.3d 1122, 1129 (11th Cir. 2017).  In addition, t</w:t>
      </w:r>
      <w:r w:rsidRPr="00FC45C4">
        <w:rPr>
          <w:rFonts w:cs="Times New Roman"/>
          <w:sz w:val="26"/>
          <w:szCs w:val="26"/>
        </w:rPr>
        <w:t xml:space="preserve">he defendant can be convicted under </w:t>
      </w:r>
      <w:r w:rsidRPr="00FC45C4">
        <w:rPr>
          <w:rFonts w:eastAsia="Times New Roman" w:cs="Times New Roman"/>
          <w:color w:val="000000"/>
          <w:sz w:val="26"/>
          <w:szCs w:val="26"/>
        </w:rPr>
        <w:t xml:space="preserve">§ 2422(b) even though he only communicated with an adult intermediary.  </w:t>
      </w:r>
      <w:r w:rsidRPr="00FC45C4">
        <w:rPr>
          <w:rFonts w:eastAsia="Times New Roman" w:cs="Times New Roman"/>
          <w:i/>
          <w:color w:val="000000"/>
          <w:sz w:val="26"/>
          <w:szCs w:val="26"/>
        </w:rPr>
        <w:t>United States v. Lee</w:t>
      </w:r>
      <w:r w:rsidRPr="00FC45C4">
        <w:rPr>
          <w:rFonts w:eastAsia="Times New Roman" w:cs="Times New Roman"/>
          <w:color w:val="000000"/>
          <w:sz w:val="26"/>
          <w:szCs w:val="26"/>
        </w:rPr>
        <w:t>, 603 F.3d 904, 912 (11th Cir. 2010).</w:t>
      </w:r>
    </w:p>
    <w:p w14:paraId="07E43A45" w14:textId="77777777" w:rsidR="00FE1D1E" w:rsidRPr="00FC45C4" w:rsidRDefault="00FE1D1E" w:rsidP="00FC45C4">
      <w:pPr>
        <w:spacing w:after="200" w:line="240" w:lineRule="auto"/>
        <w:ind w:firstLine="720"/>
        <w:jc w:val="both"/>
        <w:rPr>
          <w:rFonts w:cs="Times New Roman"/>
          <w:color w:val="000000" w:themeColor="text1"/>
          <w:sz w:val="26"/>
          <w:szCs w:val="26"/>
        </w:rPr>
      </w:pPr>
      <w:r w:rsidRPr="00FC45C4">
        <w:rPr>
          <w:rFonts w:cs="Times New Roman"/>
          <w:color w:val="000000" w:themeColor="text1"/>
          <w:sz w:val="26"/>
          <w:szCs w:val="26"/>
        </w:rPr>
        <w:lastRenderedPageBreak/>
        <w:t xml:space="preserve">The Internet is an instrumentality of interstate commerce.  </w:t>
      </w:r>
      <w:r w:rsidRPr="00FC45C4">
        <w:rPr>
          <w:rFonts w:cs="Times New Roman"/>
          <w:i/>
          <w:iCs/>
          <w:color w:val="000000" w:themeColor="text1"/>
          <w:sz w:val="26"/>
          <w:szCs w:val="26"/>
        </w:rPr>
        <w:t>United States v. Hornaday</w:t>
      </w:r>
      <w:r w:rsidRPr="00FC45C4">
        <w:rPr>
          <w:rFonts w:cs="Times New Roman"/>
          <w:color w:val="000000" w:themeColor="text1"/>
          <w:sz w:val="26"/>
          <w:szCs w:val="26"/>
        </w:rPr>
        <w:t xml:space="preserve">, 392 F.3d 1306, 1311 (11th Cir. 2004).  Telephones and cellular telephones are instrumentalities of interstate commerce, even when they are used intrastate.  </w:t>
      </w:r>
      <w:r w:rsidRPr="00FC45C4">
        <w:rPr>
          <w:rFonts w:cs="Times New Roman"/>
          <w:i/>
          <w:iCs/>
          <w:color w:val="000000" w:themeColor="text1"/>
          <w:sz w:val="26"/>
          <w:szCs w:val="26"/>
        </w:rPr>
        <w:t>United States v. Evans</w:t>
      </w:r>
      <w:r w:rsidRPr="00FC45C4">
        <w:rPr>
          <w:rFonts w:cs="Times New Roman"/>
          <w:color w:val="000000" w:themeColor="text1"/>
          <w:sz w:val="26"/>
          <w:szCs w:val="26"/>
        </w:rPr>
        <w:t>, 476 F.3d 1176, 1180-81 (11th Cir. 2007).</w:t>
      </w:r>
    </w:p>
    <w:p w14:paraId="536D6446" w14:textId="77777777" w:rsidR="00FE1D1E" w:rsidRPr="00FC45C4" w:rsidRDefault="00FE1D1E" w:rsidP="00FC45C4">
      <w:pPr>
        <w:spacing w:after="200" w:line="240" w:lineRule="auto"/>
        <w:ind w:firstLine="720"/>
        <w:jc w:val="both"/>
        <w:rPr>
          <w:rFonts w:cs="Times New Roman"/>
          <w:color w:val="000000" w:themeColor="text1"/>
          <w:sz w:val="26"/>
          <w:szCs w:val="26"/>
        </w:rPr>
      </w:pPr>
      <w:r w:rsidRPr="00FC45C4">
        <w:rPr>
          <w:rFonts w:cs="Times New Roman"/>
          <w:color w:val="000000" w:themeColor="text1"/>
          <w:sz w:val="26"/>
          <w:szCs w:val="26"/>
        </w:rPr>
        <w:t xml:space="preserve">The term “prostitution” is not defined in Title 18.  The Supreme Court has defined the term as the “offering of the body to indiscriminate lewdness for hire.”  </w:t>
      </w:r>
      <w:r w:rsidRPr="00FC45C4">
        <w:rPr>
          <w:rFonts w:cs="Times New Roman"/>
          <w:i/>
          <w:color w:val="000000" w:themeColor="text1"/>
          <w:sz w:val="26"/>
          <w:szCs w:val="26"/>
        </w:rPr>
        <w:t>Cleveland v. United States</w:t>
      </w:r>
      <w:r w:rsidRPr="00FC45C4">
        <w:rPr>
          <w:rFonts w:cs="Times New Roman"/>
          <w:color w:val="000000" w:themeColor="text1"/>
          <w:sz w:val="26"/>
          <w:szCs w:val="26"/>
        </w:rPr>
        <w:t>, 329 U.S. 14, 17 (1946).  The term should not be defined by reference to state law, as doing so would make the term superfluous, since the statute already punishes “any sexual activity for which any person can be charged with a criminal offense.”</w:t>
      </w:r>
    </w:p>
    <w:p w14:paraId="495B85ED" w14:textId="77777777" w:rsidR="00FE1D1E" w:rsidRPr="00FC45C4" w:rsidRDefault="00FE1D1E" w:rsidP="00FC45C4">
      <w:pPr>
        <w:spacing w:after="200" w:line="240" w:lineRule="auto"/>
        <w:ind w:firstLine="720"/>
        <w:jc w:val="both"/>
        <w:rPr>
          <w:rFonts w:cs="Times New Roman"/>
          <w:color w:val="000000" w:themeColor="text1"/>
          <w:sz w:val="26"/>
          <w:szCs w:val="26"/>
        </w:rPr>
      </w:pPr>
      <w:r w:rsidRPr="00FC45C4">
        <w:rPr>
          <w:rFonts w:cs="Times New Roman"/>
          <w:color w:val="000000" w:themeColor="text1"/>
          <w:sz w:val="26"/>
          <w:szCs w:val="26"/>
        </w:rPr>
        <w:t>The term “sexual activity for which any person can be charged with a criminal offense” includes the production of child pornography, as defined in 18 U.S.C. § 2256(8).  18 U.S.C. § 2427.</w:t>
      </w:r>
    </w:p>
    <w:sectPr w:rsidR="00FE1D1E" w:rsidRPr="00FC45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425F7E" w14:textId="77777777" w:rsidR="00125733" w:rsidRDefault="00125733" w:rsidP="00125733">
      <w:pPr>
        <w:spacing w:line="240" w:lineRule="auto"/>
      </w:pPr>
      <w:r>
        <w:separator/>
      </w:r>
    </w:p>
  </w:endnote>
  <w:endnote w:type="continuationSeparator" w:id="0">
    <w:p w14:paraId="0045485B" w14:textId="77777777" w:rsidR="00125733" w:rsidRDefault="00125733" w:rsidP="001257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586A0" w14:textId="77777777" w:rsidR="00125733" w:rsidRDefault="00125733" w:rsidP="00125733">
      <w:pPr>
        <w:spacing w:line="240" w:lineRule="auto"/>
      </w:pPr>
      <w:r>
        <w:separator/>
      </w:r>
    </w:p>
  </w:footnote>
  <w:footnote w:type="continuationSeparator" w:id="0">
    <w:p w14:paraId="5E9D78C7" w14:textId="77777777" w:rsidR="00125733" w:rsidRDefault="00125733" w:rsidP="0012573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817BCB"/>
    <w:multiLevelType w:val="hybridMultilevel"/>
    <w:tmpl w:val="6D78FC7E"/>
    <w:lvl w:ilvl="0" w:tplc="162E51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1E"/>
    <w:rsid w:val="00093045"/>
    <w:rsid w:val="000970DF"/>
    <w:rsid w:val="00125733"/>
    <w:rsid w:val="00150BB9"/>
    <w:rsid w:val="001B0D48"/>
    <w:rsid w:val="0047317F"/>
    <w:rsid w:val="0047572F"/>
    <w:rsid w:val="0078770F"/>
    <w:rsid w:val="009217B4"/>
    <w:rsid w:val="00983FF0"/>
    <w:rsid w:val="00AB76A3"/>
    <w:rsid w:val="00AB7BB1"/>
    <w:rsid w:val="00BE53BC"/>
    <w:rsid w:val="00D449F5"/>
    <w:rsid w:val="00F12FFB"/>
    <w:rsid w:val="00F95F97"/>
    <w:rsid w:val="00FC45C4"/>
    <w:rsid w:val="00FE1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21E1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D1E"/>
    <w:pPr>
      <w:spacing w:after="0" w:line="276"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unhideWhenUsed/>
    <w:rsid w:val="00FE1D1E"/>
    <w:pPr>
      <w:ind w:firstLine="720"/>
    </w:pPr>
    <w:rPr>
      <w:sz w:val="24"/>
      <w:szCs w:val="24"/>
    </w:rPr>
  </w:style>
  <w:style w:type="character" w:customStyle="1" w:styleId="BodyTextIndentChar">
    <w:name w:val="Body Text Indent Char"/>
    <w:basedOn w:val="DefaultParagraphFont"/>
    <w:link w:val="BodyTextIndent"/>
    <w:uiPriority w:val="99"/>
    <w:rsid w:val="00FE1D1E"/>
    <w:rPr>
      <w:rFonts w:ascii="Times New Roman" w:hAnsi="Times New Roman"/>
      <w:sz w:val="24"/>
      <w:szCs w:val="24"/>
    </w:rPr>
  </w:style>
  <w:style w:type="paragraph" w:styleId="FootnoteText">
    <w:name w:val="footnote text"/>
    <w:basedOn w:val="Normal"/>
    <w:link w:val="FootnoteTextChar"/>
    <w:uiPriority w:val="99"/>
    <w:unhideWhenUsed/>
    <w:rsid w:val="00FE1D1E"/>
    <w:pPr>
      <w:spacing w:line="240" w:lineRule="auto"/>
    </w:pPr>
    <w:rPr>
      <w:sz w:val="20"/>
      <w:szCs w:val="20"/>
    </w:rPr>
  </w:style>
  <w:style w:type="character" w:customStyle="1" w:styleId="FootnoteTextChar">
    <w:name w:val="Footnote Text Char"/>
    <w:basedOn w:val="DefaultParagraphFont"/>
    <w:link w:val="FootnoteText"/>
    <w:uiPriority w:val="99"/>
    <w:rsid w:val="00FE1D1E"/>
    <w:rPr>
      <w:rFonts w:ascii="Times New Roman" w:hAnsi="Times New Roman"/>
      <w:sz w:val="20"/>
      <w:szCs w:val="20"/>
    </w:rPr>
  </w:style>
  <w:style w:type="paragraph" w:styleId="ListParagraph">
    <w:name w:val="List Paragraph"/>
    <w:basedOn w:val="Normal"/>
    <w:uiPriority w:val="34"/>
    <w:qFormat/>
    <w:rsid w:val="00FE1D1E"/>
    <w:pPr>
      <w:ind w:left="720"/>
      <w:contextualSpacing/>
    </w:pPr>
  </w:style>
  <w:style w:type="paragraph" w:styleId="BalloonText">
    <w:name w:val="Balloon Text"/>
    <w:basedOn w:val="Normal"/>
    <w:link w:val="BalloonTextChar"/>
    <w:uiPriority w:val="99"/>
    <w:semiHidden/>
    <w:unhideWhenUsed/>
    <w:rsid w:val="00BE53B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3BC"/>
    <w:rPr>
      <w:rFonts w:ascii="Segoe UI" w:hAnsi="Segoe UI" w:cs="Segoe UI"/>
      <w:sz w:val="18"/>
      <w:szCs w:val="18"/>
    </w:rPr>
  </w:style>
  <w:style w:type="paragraph" w:styleId="Header">
    <w:name w:val="header"/>
    <w:basedOn w:val="Normal"/>
    <w:link w:val="HeaderChar"/>
    <w:uiPriority w:val="99"/>
    <w:unhideWhenUsed/>
    <w:rsid w:val="00125733"/>
    <w:pPr>
      <w:tabs>
        <w:tab w:val="center" w:pos="4680"/>
        <w:tab w:val="right" w:pos="9360"/>
      </w:tabs>
      <w:spacing w:line="240" w:lineRule="auto"/>
    </w:pPr>
  </w:style>
  <w:style w:type="character" w:customStyle="1" w:styleId="HeaderChar">
    <w:name w:val="Header Char"/>
    <w:basedOn w:val="DefaultParagraphFont"/>
    <w:link w:val="Header"/>
    <w:uiPriority w:val="99"/>
    <w:rsid w:val="00125733"/>
    <w:rPr>
      <w:rFonts w:ascii="Times New Roman" w:hAnsi="Times New Roman"/>
    </w:rPr>
  </w:style>
  <w:style w:type="paragraph" w:styleId="Footer">
    <w:name w:val="footer"/>
    <w:basedOn w:val="Normal"/>
    <w:link w:val="FooterChar"/>
    <w:uiPriority w:val="99"/>
    <w:unhideWhenUsed/>
    <w:rsid w:val="00125733"/>
    <w:pPr>
      <w:tabs>
        <w:tab w:val="center" w:pos="4680"/>
        <w:tab w:val="right" w:pos="9360"/>
      </w:tabs>
      <w:spacing w:line="240" w:lineRule="auto"/>
    </w:pPr>
  </w:style>
  <w:style w:type="character" w:customStyle="1" w:styleId="FooterChar">
    <w:name w:val="Footer Char"/>
    <w:basedOn w:val="DefaultParagraphFont"/>
    <w:link w:val="Footer"/>
    <w:uiPriority w:val="99"/>
    <w:rsid w:val="00125733"/>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6AFCA-862E-4446-B314-16767F62C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3377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2020-02-10T15:57:00Z</dcterms:created>
  <dcterms:modified xsi:type="dcterms:W3CDTF">2020-02-18T15:53:00Z</dcterms:modified>
</cp:coreProperties>
</file>