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23E6" w:rsidRDefault="00B523E6" w:rsidP="00B523E6">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B523E6" w:rsidRDefault="00B523E6" w:rsidP="00B523E6">
      <w:pPr>
        <w:spacing w:after="0" w:line="240" w:lineRule="auto"/>
        <w:jc w:val="both"/>
        <w:rPr>
          <w:rFonts w:ascii="Times New Roman" w:eastAsia="Arial" w:hAnsi="Times New Roman"/>
          <w:sz w:val="26"/>
          <w:szCs w:val="26"/>
        </w:rPr>
      </w:pPr>
    </w:p>
    <w:p w:rsidR="00B523E6" w:rsidRDefault="00B523E6" w:rsidP="00B523E6">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18 U.S.C. </w:t>
      </w:r>
      <w:r>
        <w:rPr>
          <w:rFonts w:ascii="Times New Roman" w:eastAsia="Arial" w:hAnsi="Times New Roman" w:cs="Times New Roman"/>
          <w:sz w:val="26"/>
          <w:szCs w:val="26"/>
        </w:rPr>
        <w:t>§</w:t>
      </w:r>
      <w:r>
        <w:rPr>
          <w:rFonts w:ascii="Times New Roman" w:eastAsia="Arial" w:hAnsi="Times New Roman"/>
          <w:sz w:val="26"/>
          <w:szCs w:val="26"/>
        </w:rPr>
        <w:t xml:space="preserve"> 2423</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t xml:space="preserve"> provides:</w:t>
      </w:r>
    </w:p>
    <w:p w:rsidR="00B523E6" w:rsidRDefault="00B523E6" w:rsidP="00B523E6">
      <w:pPr>
        <w:spacing w:after="0" w:line="240" w:lineRule="auto"/>
        <w:jc w:val="both"/>
        <w:rPr>
          <w:rFonts w:ascii="Times New Roman" w:eastAsia="Arial" w:hAnsi="Times New Roman"/>
          <w:sz w:val="26"/>
          <w:szCs w:val="26"/>
        </w:rPr>
      </w:pPr>
    </w:p>
    <w:p w:rsidR="00B523E6" w:rsidRDefault="00B523E6" w:rsidP="00516DD5">
      <w:pPr>
        <w:spacing w:after="0" w:line="240" w:lineRule="auto"/>
        <w:ind w:left="720" w:right="720"/>
        <w:jc w:val="both"/>
        <w:rPr>
          <w:rFonts w:ascii="Times New Roman" w:eastAsia="Arial" w:hAnsi="Times New Roman"/>
          <w:sz w:val="26"/>
          <w:szCs w:val="26"/>
        </w:rPr>
      </w:pPr>
      <w:r>
        <w:rPr>
          <w:rFonts w:ascii="Times New Roman" w:eastAsia="Arial" w:hAnsi="Times New Roman"/>
          <w:sz w:val="26"/>
          <w:szCs w:val="26"/>
        </w:rPr>
        <w:t>A person who knowingly transports an individual who has not attained the age of 18 years in interstate or foreign commerce, or in any commonwealth, territory or possession of the United States, with intent that the individual engage in prostitution, or in any sexual activity for which any person can be charged with a criminal offense, shall be fined under this title and imprisoned not less than 10 years or for life.</w:t>
      </w:r>
    </w:p>
    <w:p w:rsidR="00B523E6" w:rsidRDefault="00B523E6" w:rsidP="00B523E6">
      <w:pPr>
        <w:spacing w:after="0" w:line="240" w:lineRule="auto"/>
        <w:jc w:val="both"/>
        <w:rPr>
          <w:rFonts w:ascii="Times New Roman" w:eastAsia="Arial" w:hAnsi="Times New Roman" w:cs="Times New Roman"/>
          <w:sz w:val="26"/>
          <w:szCs w:val="26"/>
        </w:rPr>
      </w:pPr>
    </w:p>
    <w:p w:rsidR="00B523E6" w:rsidRDefault="00B523E6" w:rsidP="00516DD5">
      <w:pPr>
        <w:spacing w:after="0" w:line="240" w:lineRule="auto"/>
        <w:ind w:left="2070" w:hanging="2070"/>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Life imprisonment and applicable fine. Minimum sentence is ten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10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 18 U.S.C. § 3559 provides for a mandatory life sentence for repeated sex offenses against children.</w:t>
      </w:r>
    </w:p>
    <w:p w:rsidR="00B523E6" w:rsidRDefault="00B523E6" w:rsidP="00B523E6">
      <w:pPr>
        <w:spacing w:after="0" w:line="240" w:lineRule="auto"/>
        <w:jc w:val="both"/>
        <w:rPr>
          <w:rFonts w:ascii="Times New Roman" w:eastAsia="Arial" w:hAnsi="Times New Roman" w:cs="Times New Roman"/>
          <w:sz w:val="26"/>
          <w:szCs w:val="26"/>
        </w:rPr>
      </w:pPr>
    </w:p>
    <w:p w:rsidR="00B523E6" w:rsidRDefault="00B523E6" w:rsidP="00B523E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18 U.S.C. § 2260A provides for an enhanced sentence for persons required to register as sex offenders. 18 U.S.C. § 2426 provides that the maximum sentence for a repeat offender under chapter 117 is twice the term otherwise provided by the chapter. 18 U.S.C. § 3559 provides for mandatory life imprisonment for repeated sex offenses against children.</w:t>
      </w:r>
    </w:p>
    <w:p w:rsidR="00B523E6" w:rsidRDefault="00B523E6" w:rsidP="00B523E6">
      <w:pPr>
        <w:spacing w:after="0" w:line="240" w:lineRule="auto"/>
        <w:jc w:val="both"/>
        <w:rPr>
          <w:rFonts w:ascii="Times New Roman" w:eastAsia="Arial" w:hAnsi="Times New Roman" w:cs="Times New Roman"/>
          <w:sz w:val="26"/>
          <w:szCs w:val="26"/>
        </w:rPr>
      </w:pPr>
    </w:p>
    <w:p w:rsidR="00B523E6" w:rsidRDefault="00B523E6" w:rsidP="00B523E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defendant’s dominant purpose in transporting the child in interstate or foreign commerce need not be to engage in a sexual act with a child. However, to meet the intent requirement the Government must prove that one of the defendant’s motives was to engage in a sexual act with a child. </w:t>
      </w:r>
      <w:r w:rsidRPr="00516DD5">
        <w:rPr>
          <w:rFonts w:ascii="Times New Roman" w:eastAsia="Arial" w:hAnsi="Times New Roman" w:cs="Times New Roman"/>
          <w:i/>
          <w:sz w:val="26"/>
          <w:szCs w:val="26"/>
        </w:rPr>
        <w:t>See United States v. Hoschouer</w:t>
      </w:r>
      <w:r>
        <w:rPr>
          <w:rFonts w:ascii="Times New Roman" w:eastAsia="Arial" w:hAnsi="Times New Roman" w:cs="Times New Roman"/>
          <w:sz w:val="26"/>
          <w:szCs w:val="26"/>
        </w:rPr>
        <w:t>, 224 Fed. Appx. 923, 925 (2007) (finding that intent requirement of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was met when defendant brought child on interstate trip and evidence supported the conclusion that he did so to facilitate his sexual relationship with her).</w:t>
      </w:r>
    </w:p>
    <w:p w:rsidR="00B523E6" w:rsidRDefault="00B523E6" w:rsidP="00B523E6">
      <w:pPr>
        <w:spacing w:after="0" w:line="240" w:lineRule="auto"/>
        <w:jc w:val="both"/>
        <w:rPr>
          <w:rFonts w:ascii="Times New Roman" w:eastAsia="Arial" w:hAnsi="Times New Roman" w:cs="Times New Roman"/>
          <w:sz w:val="26"/>
          <w:szCs w:val="26"/>
        </w:rPr>
      </w:pPr>
    </w:p>
    <w:p w:rsidR="00B523E6" w:rsidRPr="00CB54DC" w:rsidRDefault="00B523E6" w:rsidP="00B523E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The statute contemplates a situation where a person transports a minor for the purpose of engaging in illegal sexual activity with a third party. The jury instructions as written contemplate a fact situation where the defendant intends for the minor to engage in illegal sexual activity with him, and they would need to be rewritten for a case where the defendant transported the minor intending that the minor engage in illegal sexual activity with a third party.</w:t>
      </w:r>
    </w:p>
    <w:p w:rsidR="00B523E6" w:rsidRDefault="00B523E6" w:rsidP="00B523E6">
      <w:pPr>
        <w:spacing w:after="0" w:line="240" w:lineRule="auto"/>
        <w:jc w:val="both"/>
        <w:rPr>
          <w:rFonts w:ascii="Times New Roman" w:eastAsia="Arial" w:hAnsi="Times New Roman" w:cs="Times New Roman"/>
          <w:sz w:val="26"/>
          <w:szCs w:val="26"/>
        </w:rPr>
      </w:pPr>
    </w:p>
    <w:p w:rsidR="00B523E6" w:rsidRPr="001A1D39" w:rsidRDefault="00B523E6" w:rsidP="00B523E6">
      <w:pPr>
        <w:spacing w:after="0" w:line="240" w:lineRule="auto"/>
        <w:jc w:val="both"/>
        <w:rPr>
          <w:rFonts w:ascii="Times New Roman" w:eastAsia="Arial" w:hAnsi="Times New Roman" w:cs="Times New Roman"/>
          <w:sz w:val="26"/>
          <w:szCs w:val="26"/>
        </w:rPr>
      </w:pPr>
      <w:r w:rsidRPr="00516DD5">
        <w:rPr>
          <w:rFonts w:ascii="Times New Roman" w:eastAsia="Arial" w:hAnsi="Times New Roman" w:cs="Times New Roman"/>
          <w:i/>
          <w:sz w:val="26"/>
          <w:szCs w:val="26"/>
        </w:rPr>
        <w:t>See U</w:t>
      </w:r>
      <w:r w:rsidR="00516DD5">
        <w:rPr>
          <w:rFonts w:ascii="Times New Roman" w:eastAsia="Arial" w:hAnsi="Times New Roman" w:cs="Times New Roman"/>
          <w:i/>
          <w:sz w:val="26"/>
          <w:szCs w:val="26"/>
        </w:rPr>
        <w:t xml:space="preserve">.S. </w:t>
      </w:r>
      <w:r w:rsidRPr="00516DD5">
        <w:rPr>
          <w:rFonts w:ascii="Times New Roman" w:eastAsia="Arial" w:hAnsi="Times New Roman" w:cs="Times New Roman"/>
          <w:i/>
          <w:sz w:val="26"/>
          <w:szCs w:val="26"/>
        </w:rPr>
        <w:t>v. Cox</w:t>
      </w:r>
      <w:r>
        <w:rPr>
          <w:rFonts w:ascii="Times New Roman" w:eastAsia="Arial" w:hAnsi="Times New Roman" w:cs="Times New Roman"/>
          <w:sz w:val="26"/>
          <w:szCs w:val="26"/>
        </w:rPr>
        <w:t>, 577 F.3d 833 (7</w:t>
      </w:r>
      <w:r w:rsidRPr="001A1D39">
        <w:rPr>
          <w:rFonts w:ascii="Times New Roman" w:eastAsia="Arial" w:hAnsi="Times New Roman" w:cs="Times New Roman"/>
          <w:sz w:val="26"/>
          <w:szCs w:val="26"/>
          <w:vertAlign w:val="superscript"/>
        </w:rPr>
        <w:t>th</w:t>
      </w:r>
      <w:r>
        <w:rPr>
          <w:rFonts w:ascii="Times New Roman" w:eastAsia="Arial" w:hAnsi="Times New Roman" w:cs="Times New Roman"/>
          <w:sz w:val="26"/>
          <w:szCs w:val="26"/>
        </w:rPr>
        <w:t xml:space="preserve"> Cir. 2009) (holding that 18 U.S.C. § 2423</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5 \s 1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does not require the Government to prove that the Defendant knew that the victim was under the age of 18).</w:t>
      </w:r>
    </w:p>
    <w:p w:rsidR="00B523E6" w:rsidRDefault="00B523E6" w:rsidP="00B523E6">
      <w:pPr>
        <w:spacing w:after="0" w:line="240" w:lineRule="auto"/>
        <w:jc w:val="both"/>
        <w:rPr>
          <w:rFonts w:ascii="Times New Roman" w:eastAsia="Arial" w:hAnsi="Times New Roman" w:cs="Times New Roman"/>
          <w:sz w:val="26"/>
          <w:szCs w:val="26"/>
        </w:rPr>
      </w:pPr>
    </w:p>
    <w:p w:rsidR="00725167" w:rsidRPr="00B523E6" w:rsidRDefault="00B523E6" w:rsidP="00B523E6">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The term “prostitution” is not defined in Title 18. The Supreme Court has defined the term as the “offering of the body to indiscriminate lewdness for hire.” </w:t>
      </w:r>
      <w:r w:rsidRPr="00516DD5">
        <w:rPr>
          <w:rFonts w:ascii="Times New Roman" w:eastAsia="Arial" w:hAnsi="Times New Roman" w:cs="Times New Roman"/>
          <w:i/>
          <w:sz w:val="26"/>
          <w:szCs w:val="26"/>
        </w:rPr>
        <w:t xml:space="preserve">Cleveland v. </w:t>
      </w:r>
      <w:r w:rsidRPr="00516DD5">
        <w:rPr>
          <w:rFonts w:ascii="Times New Roman" w:eastAsia="Arial" w:hAnsi="Times New Roman" w:cs="Times New Roman"/>
          <w:i/>
          <w:sz w:val="26"/>
          <w:szCs w:val="26"/>
        </w:rPr>
        <w:lastRenderedPageBreak/>
        <w:t>United States</w:t>
      </w:r>
      <w:r>
        <w:rPr>
          <w:rFonts w:ascii="Times New Roman" w:eastAsia="Arial" w:hAnsi="Times New Roman" w:cs="Times New Roman"/>
          <w:sz w:val="26"/>
          <w:szCs w:val="26"/>
        </w:rPr>
        <w:t>, 329 U.S. 14, 17 (1946). The term should not be defined by reference to state law, as doing so would make the term superfluous, since the statute already punishes “any sexual activity for which any person can be charged with a criminal offense.”</w:t>
      </w:r>
      <w:bookmarkEnd w:id="0"/>
    </w:p>
    <w:sectPr w:rsidR="00725167" w:rsidRPr="00B523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30C" w:rsidRDefault="006E030C" w:rsidP="006E030C">
      <w:pPr>
        <w:spacing w:after="0" w:line="240" w:lineRule="auto"/>
      </w:pPr>
      <w:r>
        <w:separator/>
      </w:r>
    </w:p>
  </w:endnote>
  <w:endnote w:type="continuationSeparator" w:id="0">
    <w:p w:rsidR="006E030C" w:rsidRDefault="006E030C" w:rsidP="006E0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30C" w:rsidRDefault="006E030C" w:rsidP="006E030C">
      <w:pPr>
        <w:spacing w:after="0" w:line="240" w:lineRule="auto"/>
      </w:pPr>
      <w:r>
        <w:separator/>
      </w:r>
    </w:p>
  </w:footnote>
  <w:footnote w:type="continuationSeparator" w:id="0">
    <w:p w:rsidR="006E030C" w:rsidRDefault="006E030C" w:rsidP="006E03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5FF6"/>
    <w:rsid w:val="001E3479"/>
    <w:rsid w:val="001E4EF8"/>
    <w:rsid w:val="001E5B53"/>
    <w:rsid w:val="001F7640"/>
    <w:rsid w:val="002077C3"/>
    <w:rsid w:val="002161E7"/>
    <w:rsid w:val="002329BF"/>
    <w:rsid w:val="00233997"/>
    <w:rsid w:val="00236275"/>
    <w:rsid w:val="00245EF2"/>
    <w:rsid w:val="00246533"/>
    <w:rsid w:val="002604B9"/>
    <w:rsid w:val="00290544"/>
    <w:rsid w:val="002D2202"/>
    <w:rsid w:val="003067A0"/>
    <w:rsid w:val="00314335"/>
    <w:rsid w:val="00321868"/>
    <w:rsid w:val="00367FCA"/>
    <w:rsid w:val="00372806"/>
    <w:rsid w:val="003A75E9"/>
    <w:rsid w:val="003B0729"/>
    <w:rsid w:val="003B09A8"/>
    <w:rsid w:val="003B14B7"/>
    <w:rsid w:val="003C2BF8"/>
    <w:rsid w:val="003D6207"/>
    <w:rsid w:val="00406A43"/>
    <w:rsid w:val="00431B02"/>
    <w:rsid w:val="00465F35"/>
    <w:rsid w:val="00480645"/>
    <w:rsid w:val="00483B81"/>
    <w:rsid w:val="004A1AAC"/>
    <w:rsid w:val="004A354F"/>
    <w:rsid w:val="004C148A"/>
    <w:rsid w:val="004C531E"/>
    <w:rsid w:val="004D06A2"/>
    <w:rsid w:val="004D5FF5"/>
    <w:rsid w:val="004E48D7"/>
    <w:rsid w:val="004F0806"/>
    <w:rsid w:val="00503A01"/>
    <w:rsid w:val="00511CE4"/>
    <w:rsid w:val="00516DD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96A1C"/>
    <w:rsid w:val="006A19AB"/>
    <w:rsid w:val="006B1FC0"/>
    <w:rsid w:val="006C204A"/>
    <w:rsid w:val="006E030C"/>
    <w:rsid w:val="00712233"/>
    <w:rsid w:val="00725167"/>
    <w:rsid w:val="007507FB"/>
    <w:rsid w:val="00772642"/>
    <w:rsid w:val="00780FDD"/>
    <w:rsid w:val="00783A2A"/>
    <w:rsid w:val="007C4B9C"/>
    <w:rsid w:val="007C5077"/>
    <w:rsid w:val="007F2C07"/>
    <w:rsid w:val="0080418B"/>
    <w:rsid w:val="00804614"/>
    <w:rsid w:val="0081575C"/>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912D2D"/>
    <w:rsid w:val="0091750A"/>
    <w:rsid w:val="009458BA"/>
    <w:rsid w:val="00970D47"/>
    <w:rsid w:val="009745AC"/>
    <w:rsid w:val="00980E88"/>
    <w:rsid w:val="009A4745"/>
    <w:rsid w:val="009B3EC8"/>
    <w:rsid w:val="009C1E78"/>
    <w:rsid w:val="009E1B73"/>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523E6"/>
    <w:rsid w:val="00B55CBA"/>
    <w:rsid w:val="00B64F36"/>
    <w:rsid w:val="00B8093D"/>
    <w:rsid w:val="00B83F0B"/>
    <w:rsid w:val="00B85D99"/>
    <w:rsid w:val="00B930F5"/>
    <w:rsid w:val="00BA1F2B"/>
    <w:rsid w:val="00BA6680"/>
    <w:rsid w:val="00BC6D90"/>
    <w:rsid w:val="00BD01A4"/>
    <w:rsid w:val="00BE616A"/>
    <w:rsid w:val="00BE645C"/>
    <w:rsid w:val="00C1091D"/>
    <w:rsid w:val="00C448A0"/>
    <w:rsid w:val="00C60792"/>
    <w:rsid w:val="00C6290E"/>
    <w:rsid w:val="00C83E88"/>
    <w:rsid w:val="00CA3187"/>
    <w:rsid w:val="00CB4D2A"/>
    <w:rsid w:val="00CC4195"/>
    <w:rsid w:val="00CC4FBE"/>
    <w:rsid w:val="00CD2013"/>
    <w:rsid w:val="00CD51F7"/>
    <w:rsid w:val="00CD734E"/>
    <w:rsid w:val="00CE7DC5"/>
    <w:rsid w:val="00CF4F9A"/>
    <w:rsid w:val="00D163A7"/>
    <w:rsid w:val="00D513C4"/>
    <w:rsid w:val="00D7262F"/>
    <w:rsid w:val="00D8670A"/>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F1AED"/>
    <w:rsid w:val="00F27B7F"/>
    <w:rsid w:val="00F57477"/>
    <w:rsid w:val="00F64671"/>
    <w:rsid w:val="00F6640E"/>
    <w:rsid w:val="00F7146C"/>
    <w:rsid w:val="00F81AFD"/>
    <w:rsid w:val="00F8667A"/>
    <w:rsid w:val="00F9394E"/>
    <w:rsid w:val="00FA4737"/>
    <w:rsid w:val="00FA6C49"/>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E0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30C"/>
  </w:style>
  <w:style w:type="paragraph" w:styleId="Footer">
    <w:name w:val="footer"/>
    <w:basedOn w:val="Normal"/>
    <w:link w:val="FooterChar"/>
    <w:uiPriority w:val="99"/>
    <w:unhideWhenUsed/>
    <w:rsid w:val="006E0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3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6E0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30C"/>
  </w:style>
  <w:style w:type="paragraph" w:styleId="Footer">
    <w:name w:val="footer"/>
    <w:basedOn w:val="Normal"/>
    <w:link w:val="FooterChar"/>
    <w:uiPriority w:val="99"/>
    <w:unhideWhenUsed/>
    <w:rsid w:val="006E0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2014-04-01T16:37:00Z</dcterms:created>
  <dcterms:modified xsi:type="dcterms:W3CDTF">2014-06-17T12:51:00Z</dcterms:modified>
</cp:coreProperties>
</file>