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3E75" w:rsidRDefault="00533E75" w:rsidP="00533E75">
      <w:pPr>
        <w:spacing w:after="0" w:line="240" w:lineRule="auto"/>
        <w:jc w:val="both"/>
        <w:rPr>
          <w:rFonts w:ascii="Times New Roman" w:eastAsia="Arial" w:hAnsi="Times New Roman"/>
          <w:sz w:val="26"/>
          <w:szCs w:val="26"/>
        </w:rPr>
      </w:pPr>
      <w:bookmarkStart w:id="0" w:name="_GoBack"/>
      <w:r>
        <w:rPr>
          <w:rFonts w:ascii="Times New Roman" w:eastAsia="Arial" w:hAnsi="Times New Roman"/>
          <w:b/>
          <w:sz w:val="26"/>
          <w:szCs w:val="26"/>
          <w:u w:val="single"/>
        </w:rPr>
        <w:t>ANNOTATIONS AND COMMENTS</w:t>
      </w:r>
    </w:p>
    <w:p w:rsidR="00533E75" w:rsidRDefault="00533E75" w:rsidP="00533E75">
      <w:pPr>
        <w:spacing w:after="0" w:line="240" w:lineRule="auto"/>
        <w:jc w:val="both"/>
        <w:rPr>
          <w:rFonts w:ascii="Times New Roman" w:eastAsia="Arial" w:hAnsi="Times New Roman"/>
          <w:sz w:val="26"/>
          <w:szCs w:val="26"/>
        </w:rPr>
      </w:pPr>
    </w:p>
    <w:p w:rsidR="00725167" w:rsidRPr="00533E75" w:rsidRDefault="00533E75" w:rsidP="00533E75">
      <w:pPr>
        <w:spacing w:after="0" w:line="240" w:lineRule="auto"/>
        <w:jc w:val="both"/>
        <w:rPr>
          <w:rFonts w:ascii="Times New Roman" w:eastAsia="Arial" w:hAnsi="Times New Roman"/>
          <w:sz w:val="26"/>
          <w:szCs w:val="26"/>
        </w:rPr>
      </w:pPr>
      <w:r>
        <w:rPr>
          <w:rFonts w:ascii="Times New Roman" w:eastAsia="Arial" w:hAnsi="Times New Roman"/>
          <w:sz w:val="26"/>
          <w:szCs w:val="26"/>
        </w:rPr>
        <w:t>While 18 U.S.C. § 3146</w:t>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5 \s 3 </w:instrText>
      </w:r>
      <w:r>
        <w:rPr>
          <w:rFonts w:ascii="Times New Roman" w:eastAsia="Arial" w:hAnsi="Times New Roman"/>
          <w:sz w:val="26"/>
          <w:szCs w:val="26"/>
        </w:rPr>
        <w:fldChar w:fldCharType="end"/>
      </w:r>
      <w:r>
        <w:rPr>
          <w:rFonts w:ascii="Times New Roman" w:eastAsia="Arial" w:hAnsi="Times New Roman"/>
          <w:sz w:val="26"/>
          <w:szCs w:val="26"/>
        </w:rPr>
        <w:t xml:space="preserve"> provides for an affirmative defense, it does not address the burden of production or persuasion. In the context of this statute which only requires that a defendant act “knowingly,” and in the absence of any authority to the contrary, the Committee believes that the burden</w:t>
      </w:r>
      <w:r w:rsidR="00285A87">
        <w:rPr>
          <w:rFonts w:ascii="Times New Roman" w:eastAsia="Arial" w:hAnsi="Times New Roman"/>
          <w:sz w:val="26"/>
          <w:szCs w:val="26"/>
        </w:rPr>
        <w:t>s</w:t>
      </w:r>
      <w:r>
        <w:rPr>
          <w:rFonts w:ascii="Times New Roman" w:eastAsia="Arial" w:hAnsi="Times New Roman"/>
          <w:sz w:val="26"/>
          <w:szCs w:val="26"/>
        </w:rPr>
        <w:t xml:space="preserve"> rest with the defendant who relies upon the exception. </w:t>
      </w:r>
      <w:r w:rsidRPr="00192F8E">
        <w:rPr>
          <w:rFonts w:ascii="Times New Roman" w:eastAsia="Arial" w:hAnsi="Times New Roman"/>
          <w:i/>
          <w:sz w:val="26"/>
          <w:szCs w:val="26"/>
        </w:rPr>
        <w:t>See Dixon v. United States</w:t>
      </w:r>
      <w:r>
        <w:rPr>
          <w:rFonts w:ascii="Times New Roman" w:eastAsia="Arial" w:hAnsi="Times New Roman"/>
          <w:sz w:val="26"/>
          <w:szCs w:val="26"/>
        </w:rPr>
        <w:t xml:space="preserve">, 548 U.S. 1, 126 S. Ct. 2437 (2006) (jury instructions do not run afoul of the Due Process Clause when they place the burden on the defendant to establish the defense of duress by a preponderance of the evidence). </w:t>
      </w:r>
      <w:r w:rsidRPr="00192F8E">
        <w:rPr>
          <w:rFonts w:ascii="Times New Roman" w:eastAsia="Arial" w:hAnsi="Times New Roman"/>
          <w:i/>
          <w:sz w:val="26"/>
          <w:szCs w:val="26"/>
        </w:rPr>
        <w:t>See also Dixon</w:t>
      </w:r>
      <w:r>
        <w:rPr>
          <w:rFonts w:ascii="Times New Roman" w:eastAsia="Arial" w:hAnsi="Times New Roman"/>
          <w:sz w:val="26"/>
          <w:szCs w:val="26"/>
        </w:rPr>
        <w:t>, 548 U.S. at 18, 126 U.S. at 2449 (“the facts needed to prove or disprove the defense lie peculiarly in the knowledge of the defendant”</w:t>
      </w:r>
      <w:r w:rsidR="00285A87">
        <w:rPr>
          <w:rFonts w:ascii="Times New Roman" w:eastAsia="Arial" w:hAnsi="Times New Roman"/>
          <w:sz w:val="26"/>
          <w:szCs w:val="26"/>
        </w:rPr>
        <w:t>)</w:t>
      </w:r>
      <w:r>
        <w:rPr>
          <w:rFonts w:ascii="Times New Roman" w:eastAsia="Arial" w:hAnsi="Times New Roman"/>
          <w:sz w:val="26"/>
          <w:szCs w:val="26"/>
        </w:rPr>
        <w:t xml:space="preserve"> (Kennedy, J. concurring) (internal quotations and citations omitted). </w:t>
      </w:r>
      <w:r w:rsidRPr="00192F8E">
        <w:rPr>
          <w:rFonts w:ascii="Times New Roman" w:eastAsia="Arial" w:hAnsi="Times New Roman"/>
          <w:i/>
          <w:sz w:val="26"/>
          <w:szCs w:val="26"/>
        </w:rPr>
        <w:t>See also Dixon</w:t>
      </w:r>
      <w:r>
        <w:rPr>
          <w:rFonts w:ascii="Times New Roman" w:eastAsia="Arial" w:hAnsi="Times New Roman"/>
          <w:sz w:val="26"/>
          <w:szCs w:val="26"/>
        </w:rPr>
        <w:t xml:space="preserve">, 548 U.S. at 13-14, 126 S. Ct. at 2446 (“… Congress was familiar with both the long-established common-law rule and the rule applied in </w:t>
      </w:r>
      <w:r w:rsidRPr="00192F8E">
        <w:rPr>
          <w:rFonts w:ascii="Times New Roman" w:eastAsia="Arial" w:hAnsi="Times New Roman"/>
          <w:i/>
          <w:sz w:val="26"/>
          <w:szCs w:val="26"/>
        </w:rPr>
        <w:t>McKelvey</w:t>
      </w:r>
      <w:r>
        <w:rPr>
          <w:rFonts w:ascii="Times New Roman" w:eastAsia="Arial" w:hAnsi="Times New Roman"/>
          <w:sz w:val="26"/>
          <w:szCs w:val="26"/>
        </w:rPr>
        <w:t xml:space="preserve"> and that it would have expected federal courts to apply a similar approach to any affirmative defense that might </w:t>
      </w:r>
      <w:r w:rsidR="00285A87">
        <w:rPr>
          <w:rFonts w:ascii="Times New Roman" w:eastAsia="Arial" w:hAnsi="Times New Roman"/>
          <w:sz w:val="26"/>
          <w:szCs w:val="26"/>
        </w:rPr>
        <w:t>me</w:t>
      </w:r>
      <w:r>
        <w:rPr>
          <w:rFonts w:ascii="Times New Roman" w:eastAsia="Arial" w:hAnsi="Times New Roman"/>
          <w:sz w:val="26"/>
          <w:szCs w:val="26"/>
        </w:rPr>
        <w:t xml:space="preserve"> asserted as a justification or excuse for violating the new law.” </w:t>
      </w:r>
      <w:r w:rsidRPr="00192F8E">
        <w:rPr>
          <w:rFonts w:ascii="Times New Roman" w:eastAsia="Arial" w:hAnsi="Times New Roman"/>
          <w:i/>
          <w:sz w:val="26"/>
          <w:szCs w:val="26"/>
        </w:rPr>
        <w:t>See McKelvey v. United States</w:t>
      </w:r>
      <w:r>
        <w:rPr>
          <w:rFonts w:ascii="Times New Roman" w:eastAsia="Arial" w:hAnsi="Times New Roman"/>
          <w:sz w:val="26"/>
          <w:szCs w:val="26"/>
        </w:rPr>
        <w:t>, 260 U.S. 353, 357, 43 S. Ct. 132, 67 L. Ed. 301 (1922).</w:t>
      </w:r>
      <w:bookmarkEnd w:id="0"/>
    </w:p>
    <w:sectPr w:rsidR="00725167" w:rsidRPr="00533E7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4352" w:rsidRDefault="00F34352" w:rsidP="00F34352">
      <w:pPr>
        <w:spacing w:after="0" w:line="240" w:lineRule="auto"/>
      </w:pPr>
      <w:r>
        <w:separator/>
      </w:r>
    </w:p>
  </w:endnote>
  <w:endnote w:type="continuationSeparator" w:id="0">
    <w:p w:rsidR="00F34352" w:rsidRDefault="00F34352" w:rsidP="00F343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4352" w:rsidRDefault="00F34352" w:rsidP="00F34352">
      <w:pPr>
        <w:spacing w:after="0" w:line="240" w:lineRule="auto"/>
      </w:pPr>
      <w:r>
        <w:separator/>
      </w:r>
    </w:p>
  </w:footnote>
  <w:footnote w:type="continuationSeparator" w:id="0">
    <w:p w:rsidR="00F34352" w:rsidRDefault="00F34352" w:rsidP="00F3435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4E82"/>
    <w:rsid w:val="00001A23"/>
    <w:rsid w:val="00014B03"/>
    <w:rsid w:val="000161B0"/>
    <w:rsid w:val="0002352A"/>
    <w:rsid w:val="000256FD"/>
    <w:rsid w:val="0003583F"/>
    <w:rsid w:val="00042055"/>
    <w:rsid w:val="0005723A"/>
    <w:rsid w:val="0006716B"/>
    <w:rsid w:val="00087D55"/>
    <w:rsid w:val="00091548"/>
    <w:rsid w:val="00097C62"/>
    <w:rsid w:val="000A7260"/>
    <w:rsid w:val="000B303C"/>
    <w:rsid w:val="000C1BFC"/>
    <w:rsid w:val="000C32C1"/>
    <w:rsid w:val="000C3F4B"/>
    <w:rsid w:val="000D5591"/>
    <w:rsid w:val="00110446"/>
    <w:rsid w:val="0011378D"/>
    <w:rsid w:val="001217D5"/>
    <w:rsid w:val="0012744C"/>
    <w:rsid w:val="00134A2F"/>
    <w:rsid w:val="00135397"/>
    <w:rsid w:val="00137BA2"/>
    <w:rsid w:val="00144B24"/>
    <w:rsid w:val="001450C4"/>
    <w:rsid w:val="001536CF"/>
    <w:rsid w:val="00157747"/>
    <w:rsid w:val="00166AB9"/>
    <w:rsid w:val="00192F8E"/>
    <w:rsid w:val="00194E82"/>
    <w:rsid w:val="001D3E33"/>
    <w:rsid w:val="001D5FF6"/>
    <w:rsid w:val="001E3479"/>
    <w:rsid w:val="001E4EF8"/>
    <w:rsid w:val="001E5B53"/>
    <w:rsid w:val="001F7640"/>
    <w:rsid w:val="002077C3"/>
    <w:rsid w:val="002161E7"/>
    <w:rsid w:val="002329BF"/>
    <w:rsid w:val="00233997"/>
    <w:rsid w:val="00236275"/>
    <w:rsid w:val="00245EF2"/>
    <w:rsid w:val="00246533"/>
    <w:rsid w:val="002604B9"/>
    <w:rsid w:val="002715C2"/>
    <w:rsid w:val="00285A87"/>
    <w:rsid w:val="00290544"/>
    <w:rsid w:val="002D2202"/>
    <w:rsid w:val="003067A0"/>
    <w:rsid w:val="00314335"/>
    <w:rsid w:val="00321868"/>
    <w:rsid w:val="00367FCA"/>
    <w:rsid w:val="00372806"/>
    <w:rsid w:val="003A75E9"/>
    <w:rsid w:val="003B0729"/>
    <w:rsid w:val="003B09A8"/>
    <w:rsid w:val="003B14B7"/>
    <w:rsid w:val="003C2BF8"/>
    <w:rsid w:val="003D6207"/>
    <w:rsid w:val="00406A43"/>
    <w:rsid w:val="00431B02"/>
    <w:rsid w:val="00465F35"/>
    <w:rsid w:val="00480645"/>
    <w:rsid w:val="00483B81"/>
    <w:rsid w:val="004A1AAC"/>
    <w:rsid w:val="004A354F"/>
    <w:rsid w:val="004C148A"/>
    <w:rsid w:val="004C531E"/>
    <w:rsid w:val="004D06A2"/>
    <w:rsid w:val="004D5FF5"/>
    <w:rsid w:val="004E48D7"/>
    <w:rsid w:val="004F0806"/>
    <w:rsid w:val="00503A01"/>
    <w:rsid w:val="00511CE4"/>
    <w:rsid w:val="00533E75"/>
    <w:rsid w:val="00543EBC"/>
    <w:rsid w:val="0056064A"/>
    <w:rsid w:val="00565EF7"/>
    <w:rsid w:val="00586722"/>
    <w:rsid w:val="005B45D9"/>
    <w:rsid w:val="005C4DB9"/>
    <w:rsid w:val="005E6914"/>
    <w:rsid w:val="005F50E3"/>
    <w:rsid w:val="00615301"/>
    <w:rsid w:val="0061645E"/>
    <w:rsid w:val="006179FB"/>
    <w:rsid w:val="00632C46"/>
    <w:rsid w:val="00633618"/>
    <w:rsid w:val="00636B96"/>
    <w:rsid w:val="00696A1C"/>
    <w:rsid w:val="006A19AB"/>
    <w:rsid w:val="006B1FC0"/>
    <w:rsid w:val="006C204A"/>
    <w:rsid w:val="00712233"/>
    <w:rsid w:val="00725167"/>
    <w:rsid w:val="007507FB"/>
    <w:rsid w:val="00772642"/>
    <w:rsid w:val="00780FDD"/>
    <w:rsid w:val="00783A2A"/>
    <w:rsid w:val="007C4B9C"/>
    <w:rsid w:val="007C5077"/>
    <w:rsid w:val="007F2C07"/>
    <w:rsid w:val="0080418B"/>
    <w:rsid w:val="00804614"/>
    <w:rsid w:val="0081575C"/>
    <w:rsid w:val="00824AA2"/>
    <w:rsid w:val="00831238"/>
    <w:rsid w:val="00841F17"/>
    <w:rsid w:val="008A01B6"/>
    <w:rsid w:val="008A442C"/>
    <w:rsid w:val="008B149D"/>
    <w:rsid w:val="008B3742"/>
    <w:rsid w:val="008B4118"/>
    <w:rsid w:val="008C025F"/>
    <w:rsid w:val="008C13DC"/>
    <w:rsid w:val="008C1CC7"/>
    <w:rsid w:val="008D77A9"/>
    <w:rsid w:val="008E0F69"/>
    <w:rsid w:val="008E221D"/>
    <w:rsid w:val="008E4BA2"/>
    <w:rsid w:val="008E7C9B"/>
    <w:rsid w:val="00912D2D"/>
    <w:rsid w:val="0091750A"/>
    <w:rsid w:val="009458BA"/>
    <w:rsid w:val="00970D47"/>
    <w:rsid w:val="009745AC"/>
    <w:rsid w:val="00980E88"/>
    <w:rsid w:val="009A4745"/>
    <w:rsid w:val="009B3EC8"/>
    <w:rsid w:val="009C1E78"/>
    <w:rsid w:val="009E1B73"/>
    <w:rsid w:val="009F5DAD"/>
    <w:rsid w:val="00A355FD"/>
    <w:rsid w:val="00A53126"/>
    <w:rsid w:val="00A66EA6"/>
    <w:rsid w:val="00A746F3"/>
    <w:rsid w:val="00A82412"/>
    <w:rsid w:val="00AA01A6"/>
    <w:rsid w:val="00AA4174"/>
    <w:rsid w:val="00AC24E2"/>
    <w:rsid w:val="00AE0F43"/>
    <w:rsid w:val="00AE20D4"/>
    <w:rsid w:val="00AF2C77"/>
    <w:rsid w:val="00B111CD"/>
    <w:rsid w:val="00B11304"/>
    <w:rsid w:val="00B523E6"/>
    <w:rsid w:val="00B55CBA"/>
    <w:rsid w:val="00B64F36"/>
    <w:rsid w:val="00B8093D"/>
    <w:rsid w:val="00B83F0B"/>
    <w:rsid w:val="00B85D99"/>
    <w:rsid w:val="00B930F5"/>
    <w:rsid w:val="00BA1F2B"/>
    <w:rsid w:val="00BA6680"/>
    <w:rsid w:val="00BC6D90"/>
    <w:rsid w:val="00BD01A4"/>
    <w:rsid w:val="00BE616A"/>
    <w:rsid w:val="00BE645C"/>
    <w:rsid w:val="00C1091D"/>
    <w:rsid w:val="00C60792"/>
    <w:rsid w:val="00C6290E"/>
    <w:rsid w:val="00C83E88"/>
    <w:rsid w:val="00CA3187"/>
    <w:rsid w:val="00CA4FB6"/>
    <w:rsid w:val="00CB4D2A"/>
    <w:rsid w:val="00CC4195"/>
    <w:rsid w:val="00CC4FBE"/>
    <w:rsid w:val="00CD2013"/>
    <w:rsid w:val="00CD51F7"/>
    <w:rsid w:val="00CD734E"/>
    <w:rsid w:val="00CE7DC5"/>
    <w:rsid w:val="00CF4E02"/>
    <w:rsid w:val="00CF4F9A"/>
    <w:rsid w:val="00D163A7"/>
    <w:rsid w:val="00D513C4"/>
    <w:rsid w:val="00D7262F"/>
    <w:rsid w:val="00DA00D9"/>
    <w:rsid w:val="00DC18AE"/>
    <w:rsid w:val="00DC4B82"/>
    <w:rsid w:val="00DE06FC"/>
    <w:rsid w:val="00DE55A6"/>
    <w:rsid w:val="00DE7A65"/>
    <w:rsid w:val="00DE7E97"/>
    <w:rsid w:val="00DE7F68"/>
    <w:rsid w:val="00E1050F"/>
    <w:rsid w:val="00E109DF"/>
    <w:rsid w:val="00E20CB0"/>
    <w:rsid w:val="00E31401"/>
    <w:rsid w:val="00E419F1"/>
    <w:rsid w:val="00E42DFC"/>
    <w:rsid w:val="00E4328C"/>
    <w:rsid w:val="00E47F68"/>
    <w:rsid w:val="00E5081B"/>
    <w:rsid w:val="00E61913"/>
    <w:rsid w:val="00E627E0"/>
    <w:rsid w:val="00E65F7A"/>
    <w:rsid w:val="00E81914"/>
    <w:rsid w:val="00E85563"/>
    <w:rsid w:val="00EA08A4"/>
    <w:rsid w:val="00EB1384"/>
    <w:rsid w:val="00EC39ED"/>
    <w:rsid w:val="00EC4504"/>
    <w:rsid w:val="00ED619F"/>
    <w:rsid w:val="00EF1AED"/>
    <w:rsid w:val="00F20C0B"/>
    <w:rsid w:val="00F27B7F"/>
    <w:rsid w:val="00F34352"/>
    <w:rsid w:val="00F57477"/>
    <w:rsid w:val="00F64671"/>
    <w:rsid w:val="00F6640E"/>
    <w:rsid w:val="00F7146C"/>
    <w:rsid w:val="00F81AFD"/>
    <w:rsid w:val="00F8667A"/>
    <w:rsid w:val="00F9394E"/>
    <w:rsid w:val="00FA4737"/>
    <w:rsid w:val="00FA6C49"/>
    <w:rsid w:val="00FC5CF8"/>
    <w:rsid w:val="00FC60F3"/>
    <w:rsid w:val="00FE21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E82"/>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5C4DB9"/>
    <w:pPr>
      <w:ind w:left="720"/>
      <w:contextualSpacing/>
    </w:pPr>
  </w:style>
  <w:style w:type="paragraph" w:styleId="Header">
    <w:name w:val="header"/>
    <w:basedOn w:val="Normal"/>
    <w:link w:val="HeaderChar"/>
    <w:uiPriority w:val="99"/>
    <w:unhideWhenUsed/>
    <w:rsid w:val="00F34352"/>
    <w:pPr>
      <w:tabs>
        <w:tab w:val="center" w:pos="4680"/>
        <w:tab w:val="right" w:pos="9360"/>
      </w:tabs>
      <w:spacing w:after="0" w:line="240" w:lineRule="auto"/>
    </w:pPr>
  </w:style>
  <w:style w:type="character" w:customStyle="1" w:styleId="HeaderChar">
    <w:name w:val="Header Char"/>
    <w:basedOn w:val="DefaultParagraphFont"/>
    <w:link w:val="Header"/>
    <w:uiPriority w:val="99"/>
    <w:rsid w:val="00F34352"/>
  </w:style>
  <w:style w:type="paragraph" w:styleId="Footer">
    <w:name w:val="footer"/>
    <w:basedOn w:val="Normal"/>
    <w:link w:val="FooterChar"/>
    <w:uiPriority w:val="99"/>
    <w:unhideWhenUsed/>
    <w:rsid w:val="00F34352"/>
    <w:pPr>
      <w:tabs>
        <w:tab w:val="center" w:pos="4680"/>
        <w:tab w:val="right" w:pos="9360"/>
      </w:tabs>
      <w:spacing w:after="0" w:line="240" w:lineRule="auto"/>
    </w:pPr>
  </w:style>
  <w:style w:type="character" w:customStyle="1" w:styleId="FooterChar">
    <w:name w:val="Footer Char"/>
    <w:basedOn w:val="DefaultParagraphFont"/>
    <w:link w:val="Footer"/>
    <w:uiPriority w:val="99"/>
    <w:rsid w:val="00F3435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E82"/>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5C4DB9"/>
    <w:pPr>
      <w:ind w:left="720"/>
      <w:contextualSpacing/>
    </w:pPr>
  </w:style>
  <w:style w:type="paragraph" w:styleId="Header">
    <w:name w:val="header"/>
    <w:basedOn w:val="Normal"/>
    <w:link w:val="HeaderChar"/>
    <w:uiPriority w:val="99"/>
    <w:unhideWhenUsed/>
    <w:rsid w:val="00F34352"/>
    <w:pPr>
      <w:tabs>
        <w:tab w:val="center" w:pos="4680"/>
        <w:tab w:val="right" w:pos="9360"/>
      </w:tabs>
      <w:spacing w:after="0" w:line="240" w:lineRule="auto"/>
    </w:pPr>
  </w:style>
  <w:style w:type="character" w:customStyle="1" w:styleId="HeaderChar">
    <w:name w:val="Header Char"/>
    <w:basedOn w:val="DefaultParagraphFont"/>
    <w:link w:val="Header"/>
    <w:uiPriority w:val="99"/>
    <w:rsid w:val="00F34352"/>
  </w:style>
  <w:style w:type="paragraph" w:styleId="Footer">
    <w:name w:val="footer"/>
    <w:basedOn w:val="Normal"/>
    <w:link w:val="FooterChar"/>
    <w:uiPriority w:val="99"/>
    <w:unhideWhenUsed/>
    <w:rsid w:val="00F34352"/>
    <w:pPr>
      <w:tabs>
        <w:tab w:val="center" w:pos="4680"/>
        <w:tab w:val="right" w:pos="9360"/>
      </w:tabs>
      <w:spacing w:after="0" w:line="240" w:lineRule="auto"/>
    </w:pPr>
  </w:style>
  <w:style w:type="character" w:customStyle="1" w:styleId="FooterChar">
    <w:name w:val="Footer Char"/>
    <w:basedOn w:val="DefaultParagraphFont"/>
    <w:link w:val="Footer"/>
    <w:uiPriority w:val="99"/>
    <w:rsid w:val="00F343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195</Words>
  <Characters>1112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1305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2014-04-01T16:49:00Z</dcterms:created>
  <dcterms:modified xsi:type="dcterms:W3CDTF">2014-06-17T12:29:00Z</dcterms:modified>
</cp:coreProperties>
</file>