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99" w:rsidRDefault="00212F99" w:rsidP="00212F99">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212F99" w:rsidRDefault="00212F99" w:rsidP="00212F99">
      <w:pPr>
        <w:spacing w:after="0" w:line="240" w:lineRule="auto"/>
        <w:jc w:val="both"/>
        <w:rPr>
          <w:rFonts w:ascii="Times New Roman" w:eastAsia="Arial" w:hAnsi="Times New Roman"/>
          <w:sz w:val="26"/>
          <w:szCs w:val="26"/>
        </w:rPr>
      </w:pPr>
    </w:p>
    <w:p w:rsidR="00212F99" w:rsidRDefault="00212F99" w:rsidP="00212F99">
      <w:pPr>
        <w:spacing w:after="0" w:line="240" w:lineRule="auto"/>
        <w:jc w:val="both"/>
        <w:rPr>
          <w:rFonts w:ascii="Times New Roman" w:eastAsia="Arial" w:hAnsi="Times New Roman"/>
          <w:sz w:val="26"/>
          <w:szCs w:val="26"/>
        </w:rPr>
      </w:pPr>
      <w:r>
        <w:rPr>
          <w:rFonts w:ascii="Times New Roman" w:eastAsia="Arial" w:hAnsi="Times New Roman"/>
          <w:sz w:val="26"/>
          <w:szCs w:val="26"/>
        </w:rPr>
        <w:t>8 U.S.C. § 1324 provides:</w:t>
      </w:r>
    </w:p>
    <w:p w:rsidR="00212F99" w:rsidRDefault="00212F99" w:rsidP="00212F99">
      <w:pPr>
        <w:spacing w:after="0" w:line="240" w:lineRule="auto"/>
        <w:jc w:val="both"/>
        <w:rPr>
          <w:rFonts w:ascii="Times New Roman" w:eastAsia="Arial" w:hAnsi="Times New Roman"/>
          <w:sz w:val="26"/>
          <w:szCs w:val="26"/>
        </w:rPr>
      </w:pPr>
    </w:p>
    <w:p w:rsidR="00212F99" w:rsidRDefault="00212F99" w:rsidP="00212F99">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w:t>
      </w:r>
      <w:r w:rsidR="00B55921">
        <w:rPr>
          <w:rFonts w:ascii="Times New Roman" w:eastAsia="Arial" w:hAnsi="Times New Roman"/>
          <w:sz w:val="26"/>
          <w:szCs w:val="26"/>
        </w:rPr>
        <w:t xml:space="preserve"> </w:t>
      </w:r>
      <w:r>
        <w:rPr>
          <w:rFonts w:ascii="Times New Roman" w:eastAsia="Arial" w:hAnsi="Times New Roman"/>
          <w:sz w:val="26"/>
          <w:szCs w:val="26"/>
        </w:rPr>
        <w:t>Any person who</w:t>
      </w:r>
    </w:p>
    <w:p w:rsidR="00212F99" w:rsidRDefault="00212F99" w:rsidP="00212F99">
      <w:pPr>
        <w:spacing w:after="0" w:line="240" w:lineRule="auto"/>
        <w:ind w:left="360" w:right="360" w:firstLine="360"/>
        <w:jc w:val="both"/>
        <w:rPr>
          <w:rFonts w:ascii="Times New Roman" w:eastAsia="Arial" w:hAnsi="Times New Roman"/>
          <w:sz w:val="26"/>
          <w:szCs w:val="26"/>
        </w:rPr>
      </w:pPr>
    </w:p>
    <w:p w:rsidR="00212F99" w:rsidRDefault="00212F99" w:rsidP="00212F99">
      <w:pPr>
        <w:spacing w:after="0" w:line="240" w:lineRule="auto"/>
        <w:ind w:left="1440" w:right="144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1 </w:instrText>
      </w:r>
      <w:r>
        <w:rPr>
          <w:rFonts w:ascii="Times New Roman" w:eastAsia="Arial" w:hAnsi="Times New Roman"/>
          <w:sz w:val="26"/>
          <w:szCs w:val="26"/>
        </w:rPr>
        <w:fldChar w:fldCharType="end"/>
      </w:r>
      <w:r>
        <w:rPr>
          <w:rFonts w:ascii="Times New Roman" w:eastAsia="Arial" w:hAnsi="Times New Roman"/>
          <w:sz w:val="26"/>
          <w:szCs w:val="26"/>
        </w:rPr>
        <w:t xml:space="preserve"> knowing that a person is an alien, brings to or attempts to bring to the United States in any manner whatsoever such person at a place other than a designated port of entry or place other than as designated by the Commissioner, regardless of whether such alien has received prior official authorization to come to, enter, or reside in the United States and regardless of any future official action which may be taken with respect to such alien [shall be guilty of an offense against the United States].</w:t>
      </w:r>
    </w:p>
    <w:p w:rsidR="00212F99" w:rsidRDefault="00212F99" w:rsidP="00212F99">
      <w:pPr>
        <w:spacing w:after="0" w:line="240" w:lineRule="auto"/>
        <w:ind w:left="1440" w:right="1440" w:firstLine="360"/>
        <w:jc w:val="both"/>
        <w:rPr>
          <w:rFonts w:ascii="Times New Roman" w:eastAsia="Arial" w:hAnsi="Times New Roman"/>
          <w:sz w:val="26"/>
          <w:szCs w:val="26"/>
        </w:rPr>
      </w:pPr>
    </w:p>
    <w:p w:rsidR="00212F99" w:rsidRDefault="00212F99" w:rsidP="00212F9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and applicable fine.</w:t>
      </w:r>
    </w:p>
    <w:p w:rsidR="00212F99" w:rsidRDefault="00212F99" w:rsidP="00212F99">
      <w:pPr>
        <w:spacing w:after="0" w:line="240" w:lineRule="auto"/>
        <w:jc w:val="both"/>
        <w:rPr>
          <w:rFonts w:ascii="Times New Roman" w:eastAsia="Arial" w:hAnsi="Times New Roman" w:cs="Times New Roman"/>
          <w:sz w:val="26"/>
          <w:szCs w:val="26"/>
        </w:rPr>
      </w:pPr>
    </w:p>
    <w:p w:rsidR="00725167" w:rsidRPr="00212F99" w:rsidRDefault="00212F99" w:rsidP="00212F99">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mens rea requirement for this crime is discussed in </w:t>
      </w:r>
      <w:r w:rsidRPr="00B55921">
        <w:rPr>
          <w:rFonts w:ascii="Times New Roman" w:eastAsia="Arial" w:hAnsi="Times New Roman" w:cs="Times New Roman"/>
          <w:i/>
          <w:sz w:val="26"/>
          <w:szCs w:val="26"/>
        </w:rPr>
        <w:t>United States v. Zayas-Morales</w:t>
      </w:r>
      <w:r>
        <w:rPr>
          <w:rFonts w:ascii="Times New Roman" w:eastAsia="Arial" w:hAnsi="Times New Roman" w:cs="Times New Roman"/>
          <w:sz w:val="26"/>
          <w:szCs w:val="26"/>
        </w:rPr>
        <w:t>, 685 F.2d 1272, 1277 (11</w:t>
      </w:r>
      <w:r w:rsidRPr="00E276A9">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1982) (“By our decision in this case, we simply articulate that which is inherent in the prosecution of any serious crime-proof of a general intent to commit an illegal act.”).</w:t>
      </w:r>
      <w:bookmarkEnd w:id="0"/>
    </w:p>
    <w:sectPr w:rsidR="00725167" w:rsidRPr="0021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06D" w:rsidRDefault="0060106D" w:rsidP="0060106D">
      <w:pPr>
        <w:spacing w:after="0" w:line="240" w:lineRule="auto"/>
      </w:pPr>
      <w:r>
        <w:separator/>
      </w:r>
    </w:p>
  </w:endnote>
  <w:endnote w:type="continuationSeparator" w:id="0">
    <w:p w:rsidR="0060106D" w:rsidRDefault="0060106D" w:rsidP="0060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06D" w:rsidRDefault="0060106D" w:rsidP="0060106D">
      <w:pPr>
        <w:spacing w:after="0" w:line="240" w:lineRule="auto"/>
      </w:pPr>
      <w:r>
        <w:separator/>
      </w:r>
    </w:p>
  </w:footnote>
  <w:footnote w:type="continuationSeparator" w:id="0">
    <w:p w:rsidR="0060106D" w:rsidRDefault="0060106D" w:rsidP="006010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4B9"/>
    <w:rsid w:val="00290544"/>
    <w:rsid w:val="002B6595"/>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0106D"/>
    <w:rsid w:val="00615301"/>
    <w:rsid w:val="0061645E"/>
    <w:rsid w:val="006179FB"/>
    <w:rsid w:val="00632C46"/>
    <w:rsid w:val="00633618"/>
    <w:rsid w:val="00636B96"/>
    <w:rsid w:val="00696A1C"/>
    <w:rsid w:val="006A19AB"/>
    <w:rsid w:val="006B1FC0"/>
    <w:rsid w:val="006C204A"/>
    <w:rsid w:val="00712233"/>
    <w:rsid w:val="00725167"/>
    <w:rsid w:val="007364EB"/>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921"/>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44B5"/>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01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06D"/>
  </w:style>
  <w:style w:type="paragraph" w:styleId="Footer">
    <w:name w:val="footer"/>
    <w:basedOn w:val="Normal"/>
    <w:link w:val="FooterChar"/>
    <w:uiPriority w:val="99"/>
    <w:unhideWhenUsed/>
    <w:rsid w:val="00601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01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06D"/>
  </w:style>
  <w:style w:type="paragraph" w:styleId="Footer">
    <w:name w:val="footer"/>
    <w:basedOn w:val="Normal"/>
    <w:link w:val="FooterChar"/>
    <w:uiPriority w:val="99"/>
    <w:unhideWhenUsed/>
    <w:rsid w:val="00601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2014-04-01T16:51:00Z</dcterms:created>
  <dcterms:modified xsi:type="dcterms:W3CDTF">2014-06-17T12:24:00Z</dcterms:modified>
</cp:coreProperties>
</file>