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C1B" w:rsidRDefault="009F5C1B" w:rsidP="009F5C1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F5C1B" w:rsidRDefault="009F5C1B" w:rsidP="009F5C1B">
      <w:pPr>
        <w:spacing w:after="0" w:line="240" w:lineRule="auto"/>
        <w:jc w:val="both"/>
        <w:rPr>
          <w:rFonts w:ascii="Times New Roman" w:eastAsia="Arial" w:hAnsi="Times New Roman"/>
          <w:sz w:val="26"/>
          <w:szCs w:val="26"/>
        </w:rPr>
      </w:pPr>
    </w:p>
    <w:p w:rsidR="009F5C1B" w:rsidRDefault="009F5C1B" w:rsidP="009F5C1B">
      <w:pPr>
        <w:spacing w:after="0" w:line="240" w:lineRule="auto"/>
        <w:jc w:val="both"/>
        <w:rPr>
          <w:rFonts w:ascii="Times New Roman" w:eastAsia="Arial" w:hAnsi="Times New Roman"/>
          <w:sz w:val="26"/>
          <w:szCs w:val="26"/>
        </w:rPr>
      </w:pPr>
      <w:r>
        <w:rPr>
          <w:rFonts w:ascii="Times New Roman" w:eastAsia="Arial" w:hAnsi="Times New Roman"/>
          <w:sz w:val="26"/>
          <w:szCs w:val="26"/>
        </w:rPr>
        <w:t>8 U.S.C. § 1324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9F5C1B" w:rsidRDefault="009F5C1B" w:rsidP="009F5C1B">
      <w:pPr>
        <w:spacing w:after="0" w:line="240" w:lineRule="auto"/>
        <w:jc w:val="both"/>
        <w:rPr>
          <w:rFonts w:ascii="Times New Roman" w:eastAsia="Arial" w:hAnsi="Times New Roman"/>
          <w:sz w:val="26"/>
          <w:szCs w:val="26"/>
        </w:rPr>
      </w:pPr>
    </w:p>
    <w:p w:rsidR="009F5C1B" w:rsidRDefault="009F5C1B" w:rsidP="009F5C1B">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 Any person who - -</w:t>
      </w:r>
    </w:p>
    <w:p w:rsidR="009F5C1B" w:rsidRDefault="009F5C1B" w:rsidP="009F5C1B">
      <w:pPr>
        <w:spacing w:after="0" w:line="240" w:lineRule="auto"/>
        <w:ind w:left="360" w:right="360" w:firstLine="360"/>
        <w:jc w:val="both"/>
        <w:rPr>
          <w:rFonts w:ascii="Times New Roman" w:eastAsia="Arial" w:hAnsi="Times New Roman"/>
          <w:sz w:val="26"/>
          <w:szCs w:val="26"/>
        </w:rPr>
      </w:pPr>
    </w:p>
    <w:p w:rsidR="009F5C1B" w:rsidRDefault="009F5C1B" w:rsidP="009F5C1B">
      <w:pPr>
        <w:spacing w:after="0" w:line="240" w:lineRule="auto"/>
        <w:ind w:left="1440" w:right="144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2 </w:instrText>
      </w:r>
      <w:r>
        <w:rPr>
          <w:rFonts w:ascii="Times New Roman" w:eastAsia="Arial" w:hAnsi="Times New Roman"/>
          <w:sz w:val="26"/>
          <w:szCs w:val="26"/>
        </w:rPr>
        <w:fldChar w:fldCharType="end"/>
      </w:r>
      <w:r>
        <w:rPr>
          <w:rFonts w:ascii="Times New Roman" w:eastAsia="Arial" w:hAnsi="Times New Roman"/>
          <w:sz w:val="26"/>
          <w:szCs w:val="26"/>
        </w:rPr>
        <w:t xml:space="preserve"> knowing or in reckless disregard of the fact that an alien has come to, entered, or remains in the United States in violation of law, transports, or moves or attempts to transport or move such alien within the United States by means of transportation or otherwise, in furtherance of such violation of law [shall be guilty of an offense against the United States].</w:t>
      </w:r>
    </w:p>
    <w:p w:rsidR="009F5C1B" w:rsidRDefault="009F5C1B" w:rsidP="009F5C1B">
      <w:pPr>
        <w:spacing w:after="0" w:line="240" w:lineRule="auto"/>
        <w:jc w:val="both"/>
        <w:rPr>
          <w:rFonts w:ascii="Times New Roman" w:eastAsia="Arial" w:hAnsi="Times New Roman" w:cs="Times New Roman"/>
          <w:sz w:val="26"/>
          <w:szCs w:val="26"/>
        </w:rPr>
      </w:pPr>
    </w:p>
    <w:p w:rsidR="009F5C1B" w:rsidRDefault="009F5C1B" w:rsidP="009F5C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Five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and applicable fine.</w:t>
      </w:r>
    </w:p>
    <w:p w:rsidR="009F5C1B" w:rsidRDefault="009F5C1B" w:rsidP="009F5C1B">
      <w:pPr>
        <w:spacing w:after="0" w:line="240" w:lineRule="auto"/>
        <w:jc w:val="both"/>
        <w:rPr>
          <w:rFonts w:ascii="Times New Roman" w:eastAsia="Arial" w:hAnsi="Times New Roman" w:cs="Times New Roman"/>
          <w:sz w:val="26"/>
          <w:szCs w:val="26"/>
        </w:rPr>
      </w:pPr>
    </w:p>
    <w:p w:rsidR="009F5C1B" w:rsidRDefault="009F5C1B" w:rsidP="009F5C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Though the word “willfully” does not appear in the statute, and therefore is not included in this jury charge, a number of circuits do include “willfully” as an element of the crime, such that the Defendant must be found to have transported the alien “willfully in furtherance” of his illegal presence in the United States. </w:t>
      </w:r>
      <w:r w:rsidRPr="00EF15D1">
        <w:rPr>
          <w:rFonts w:ascii="Times New Roman" w:eastAsia="Arial" w:hAnsi="Times New Roman" w:cs="Times New Roman"/>
          <w:i/>
          <w:sz w:val="26"/>
          <w:szCs w:val="26"/>
        </w:rPr>
        <w:t>See United States v. Barajas-Chavez</w:t>
      </w:r>
      <w:r>
        <w:rPr>
          <w:rFonts w:ascii="Times New Roman" w:eastAsia="Arial" w:hAnsi="Times New Roman" w:cs="Times New Roman"/>
          <w:sz w:val="26"/>
          <w:szCs w:val="26"/>
        </w:rPr>
        <w:t>, 162 F.3d 1285, 1287 (10</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1999); </w:t>
      </w:r>
      <w:r w:rsidRPr="00EF15D1">
        <w:rPr>
          <w:rFonts w:ascii="Times New Roman" w:eastAsia="Arial" w:hAnsi="Times New Roman" w:cs="Times New Roman"/>
          <w:i/>
          <w:sz w:val="26"/>
          <w:szCs w:val="26"/>
        </w:rPr>
        <w:t>United States v. Parmelee</w:t>
      </w:r>
      <w:r>
        <w:rPr>
          <w:rFonts w:ascii="Times New Roman" w:eastAsia="Arial" w:hAnsi="Times New Roman" w:cs="Times New Roman"/>
          <w:sz w:val="26"/>
          <w:szCs w:val="26"/>
        </w:rPr>
        <w:t>, 42 F.3d 387, 390 (7</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1994); </w:t>
      </w:r>
      <w:r w:rsidRPr="00EF15D1">
        <w:rPr>
          <w:rFonts w:ascii="Times New Roman" w:eastAsia="Arial" w:hAnsi="Times New Roman" w:cs="Times New Roman"/>
          <w:i/>
          <w:sz w:val="26"/>
          <w:szCs w:val="26"/>
        </w:rPr>
        <w:t>United States v. Velasquez-Cruz</w:t>
      </w:r>
      <w:r>
        <w:rPr>
          <w:rFonts w:ascii="Times New Roman" w:eastAsia="Arial" w:hAnsi="Times New Roman" w:cs="Times New Roman"/>
          <w:sz w:val="26"/>
          <w:szCs w:val="26"/>
        </w:rPr>
        <w:t>, 929 F.2d 420, 422 (8</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1991); </w:t>
      </w:r>
      <w:r w:rsidRPr="00EF15D1">
        <w:rPr>
          <w:rFonts w:ascii="Times New Roman" w:eastAsia="Arial" w:hAnsi="Times New Roman" w:cs="Times New Roman"/>
          <w:i/>
          <w:sz w:val="26"/>
          <w:szCs w:val="26"/>
        </w:rPr>
        <w:t>United States v. 1982 Ford Pick-Up</w:t>
      </w:r>
      <w:r>
        <w:rPr>
          <w:rFonts w:ascii="Times New Roman" w:eastAsia="Arial" w:hAnsi="Times New Roman" w:cs="Times New Roman"/>
          <w:sz w:val="26"/>
          <w:szCs w:val="26"/>
        </w:rPr>
        <w:t>, 873 F.2d 947, 951 (6</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1989); see also 2B Fed. Jury Prac. &amp; Instr. § 61.06 (5</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ed.). In </w:t>
      </w:r>
      <w:r w:rsidRPr="00EF15D1">
        <w:rPr>
          <w:rFonts w:ascii="Times New Roman" w:eastAsia="Arial" w:hAnsi="Times New Roman" w:cs="Times New Roman"/>
          <w:i/>
          <w:sz w:val="26"/>
          <w:szCs w:val="26"/>
        </w:rPr>
        <w:t>United States v. Rivera</w:t>
      </w:r>
      <w:r>
        <w:rPr>
          <w:rFonts w:ascii="Times New Roman" w:eastAsia="Arial" w:hAnsi="Times New Roman" w:cs="Times New Roman"/>
          <w:sz w:val="26"/>
          <w:szCs w:val="26"/>
        </w:rPr>
        <w:t>, 879 F.2d 1247, 1251 (5</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1989). The Committee believes that the legislative history supports the conclusion that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(A)</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only requires that the Defendant knew the alien was in the U.S. illegally, or recklessly disregarded that fact, and transported the alien in furtherance of the alien’s violation of law. See H.R. Rep. No. 682</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99</w:t>
      </w:r>
      <w:r w:rsidRPr="008E1802">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Cong., 2d Sess. 65 (1986), </w:t>
      </w:r>
      <w:r w:rsidRPr="00EF15D1">
        <w:rPr>
          <w:rFonts w:ascii="Times New Roman" w:eastAsia="Arial" w:hAnsi="Times New Roman" w:cs="Times New Roman"/>
          <w:i/>
          <w:sz w:val="26"/>
          <w:szCs w:val="26"/>
        </w:rPr>
        <w:t>reprinted in</w:t>
      </w:r>
      <w:r>
        <w:rPr>
          <w:rFonts w:ascii="Times New Roman" w:eastAsia="Arial" w:hAnsi="Times New Roman" w:cs="Times New Roman"/>
          <w:sz w:val="26"/>
          <w:szCs w:val="26"/>
        </w:rPr>
        <w:t xml:space="preserve"> 1986 U.S. Code Cong. and Adm. News, 5649 at 5669-70.</w:t>
      </w:r>
    </w:p>
    <w:p w:rsidR="009F5C1B" w:rsidRDefault="009F5C1B" w:rsidP="009F5C1B">
      <w:pPr>
        <w:spacing w:after="0" w:line="240" w:lineRule="auto"/>
        <w:jc w:val="both"/>
        <w:rPr>
          <w:rFonts w:ascii="Times New Roman" w:eastAsia="Arial" w:hAnsi="Times New Roman" w:cs="Times New Roman"/>
          <w:sz w:val="26"/>
          <w:szCs w:val="26"/>
        </w:rPr>
      </w:pPr>
    </w:p>
    <w:p w:rsidR="009F5C1B" w:rsidRDefault="009F5C1B" w:rsidP="009F5C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Circuits look to the purpose for which transportation is provided to an illegal alien to determine whether this law was violated. The Ninth Circuit reversed a conviction under Section 1324, where the evidence at trial showed the Defendant was transporting aliens “as part of the ordinary and required course of his employment as foreman” and noted as well that the transporting of an undocumented alien to a hospital following an injury does not come within the confines of Section 1324. </w:t>
      </w:r>
      <w:r w:rsidRPr="00EF15D1">
        <w:rPr>
          <w:rFonts w:ascii="Times New Roman" w:eastAsia="Arial" w:hAnsi="Times New Roman" w:cs="Times New Roman"/>
          <w:i/>
          <w:sz w:val="26"/>
          <w:szCs w:val="26"/>
        </w:rPr>
        <w:t>See United States v. Moreno</w:t>
      </w:r>
      <w:r>
        <w:rPr>
          <w:rFonts w:ascii="Times New Roman" w:eastAsia="Arial" w:hAnsi="Times New Roman" w:cs="Times New Roman"/>
          <w:sz w:val="26"/>
          <w:szCs w:val="26"/>
        </w:rPr>
        <w:t>, 561 F.2d 1321, 1322 n.3 (9</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1977). The Eighth Circuit uses the “incidental connection” test, which looks to whether the transportation of the alien has only an “incidental connection” to the furtherance of the violation of the law. </w:t>
      </w:r>
      <w:r w:rsidRPr="00EF15D1">
        <w:rPr>
          <w:rFonts w:ascii="Times New Roman" w:eastAsia="Arial" w:hAnsi="Times New Roman" w:cs="Times New Roman"/>
          <w:i/>
          <w:sz w:val="26"/>
          <w:szCs w:val="26"/>
        </w:rPr>
        <w:t>United States v. Velasquez-Cruz</w:t>
      </w:r>
      <w:r>
        <w:rPr>
          <w:rFonts w:ascii="Times New Roman" w:eastAsia="Arial" w:hAnsi="Times New Roman" w:cs="Times New Roman"/>
          <w:sz w:val="26"/>
          <w:szCs w:val="26"/>
        </w:rPr>
        <w:t>, 929 F.2d 420, 422-23 (8</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1991). The Sixth Circuit’s test is based on the purpose of the Defendant in transporting the alien. </w:t>
      </w:r>
      <w:r w:rsidRPr="00EF15D1">
        <w:rPr>
          <w:rFonts w:ascii="Times New Roman" w:eastAsia="Arial" w:hAnsi="Times New Roman" w:cs="Times New Roman"/>
          <w:i/>
          <w:sz w:val="26"/>
          <w:szCs w:val="26"/>
        </w:rPr>
        <w:t>United States v. 1982 Ford Pick-Up</w:t>
      </w:r>
      <w:r>
        <w:rPr>
          <w:rFonts w:ascii="Times New Roman" w:eastAsia="Arial" w:hAnsi="Times New Roman" w:cs="Times New Roman"/>
          <w:sz w:val="26"/>
          <w:szCs w:val="26"/>
        </w:rPr>
        <w:t>, 873 F.2d 947, 951 (6</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1989). The Fifth, Seventh, and Tenth Circuits adopted a general approach that allowed the Government to prove the “in furtherance” element by reference to the facts and circumstances of each case. The fact finder can “consider any and all relevant </w:t>
      </w:r>
      <w:r>
        <w:rPr>
          <w:rFonts w:ascii="Times New Roman" w:eastAsia="Arial" w:hAnsi="Times New Roman" w:cs="Times New Roman"/>
          <w:sz w:val="26"/>
          <w:szCs w:val="26"/>
        </w:rPr>
        <w:lastRenderedPageBreak/>
        <w:t xml:space="preserve">evidence bearing on the ‘in furtherance of’ element (time, place, distance, reason for trip, overall impact of trip, defendant’s role in organizing and/or carrying out the trip).” </w:t>
      </w:r>
      <w:r w:rsidRPr="00EF15D1">
        <w:rPr>
          <w:rFonts w:ascii="Times New Roman" w:eastAsia="Arial" w:hAnsi="Times New Roman" w:cs="Times New Roman"/>
          <w:i/>
          <w:sz w:val="26"/>
          <w:szCs w:val="26"/>
        </w:rPr>
        <w:t>United States v. Barajas-Chavez</w:t>
      </w:r>
      <w:r>
        <w:rPr>
          <w:rFonts w:ascii="Times New Roman" w:eastAsia="Arial" w:hAnsi="Times New Roman" w:cs="Times New Roman"/>
          <w:sz w:val="26"/>
          <w:szCs w:val="26"/>
        </w:rPr>
        <w:t>, 162 F.3d 1285, 1289 (10</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1999); </w:t>
      </w:r>
      <w:r w:rsidRPr="00EF15D1">
        <w:rPr>
          <w:rFonts w:ascii="Times New Roman" w:eastAsia="Arial" w:hAnsi="Times New Roman" w:cs="Times New Roman"/>
          <w:i/>
          <w:sz w:val="26"/>
          <w:szCs w:val="26"/>
        </w:rPr>
        <w:t>United States v. Parmelee</w:t>
      </w:r>
      <w:r>
        <w:rPr>
          <w:rFonts w:ascii="Times New Roman" w:eastAsia="Arial" w:hAnsi="Times New Roman" w:cs="Times New Roman"/>
          <w:sz w:val="26"/>
          <w:szCs w:val="26"/>
        </w:rPr>
        <w:t>, 42 F.3d 387, 391 (7</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1994); </w:t>
      </w:r>
      <w:r w:rsidRPr="00EF15D1">
        <w:rPr>
          <w:rFonts w:ascii="Times New Roman" w:eastAsia="Arial" w:hAnsi="Times New Roman" w:cs="Times New Roman"/>
          <w:i/>
          <w:sz w:val="26"/>
          <w:szCs w:val="26"/>
        </w:rPr>
        <w:t>United States v. Williams</w:t>
      </w:r>
      <w:r>
        <w:rPr>
          <w:rFonts w:ascii="Times New Roman" w:eastAsia="Arial" w:hAnsi="Times New Roman" w:cs="Times New Roman"/>
          <w:sz w:val="26"/>
          <w:szCs w:val="26"/>
        </w:rPr>
        <w:t>, 132 F.3d 1055, 1062 (5</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1998); </w:t>
      </w:r>
      <w:r w:rsidRPr="00EF15D1">
        <w:rPr>
          <w:rFonts w:ascii="Times New Roman" w:eastAsia="Arial" w:hAnsi="Times New Roman" w:cs="Times New Roman"/>
          <w:i/>
          <w:sz w:val="26"/>
          <w:szCs w:val="26"/>
        </w:rPr>
        <w:t>United States v. Merkt</w:t>
      </w:r>
      <w:r>
        <w:rPr>
          <w:rFonts w:ascii="Times New Roman" w:eastAsia="Arial" w:hAnsi="Times New Roman" w:cs="Times New Roman"/>
          <w:sz w:val="26"/>
          <w:szCs w:val="26"/>
        </w:rPr>
        <w:t>, 764 F.2d 266, 272 (5</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1985) (holding that the factfinder should “consider all of the evidence it finds credible about [the Defendant’s] intentions, direct as well as circumstantial”).</w:t>
      </w:r>
    </w:p>
    <w:p w:rsidR="009F5C1B" w:rsidRDefault="009F5C1B" w:rsidP="009F5C1B">
      <w:pPr>
        <w:spacing w:after="0" w:line="240" w:lineRule="auto"/>
        <w:jc w:val="both"/>
        <w:rPr>
          <w:rFonts w:ascii="Times New Roman" w:eastAsia="Arial" w:hAnsi="Times New Roman" w:cs="Times New Roman"/>
          <w:sz w:val="26"/>
          <w:szCs w:val="26"/>
        </w:rPr>
      </w:pPr>
    </w:p>
    <w:p w:rsidR="009F5C1B" w:rsidRDefault="009F5C1B" w:rsidP="009F5C1B">
      <w:pPr>
        <w:spacing w:after="0" w:line="240" w:lineRule="auto"/>
        <w:jc w:val="both"/>
        <w:rPr>
          <w:rFonts w:ascii="Times New Roman" w:eastAsia="Arial" w:hAnsi="Times New Roman" w:cs="Times New Roman"/>
          <w:sz w:val="26"/>
          <w:szCs w:val="26"/>
        </w:rPr>
      </w:pPr>
      <w:r w:rsidRPr="00EF15D1">
        <w:rPr>
          <w:rFonts w:ascii="Times New Roman" w:eastAsia="Arial" w:hAnsi="Times New Roman" w:cs="Times New Roman"/>
          <w:i/>
          <w:sz w:val="26"/>
          <w:szCs w:val="26"/>
        </w:rPr>
        <w:t>See United States v. Zlatogur</w:t>
      </w:r>
      <w:r>
        <w:rPr>
          <w:rFonts w:ascii="Times New Roman" w:eastAsia="Arial" w:hAnsi="Times New Roman" w:cs="Times New Roman"/>
          <w:sz w:val="26"/>
          <w:szCs w:val="26"/>
        </w:rPr>
        <w:t>, 271 F.3d 1025, 1029 (11</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2001). </w:t>
      </w:r>
      <w:r w:rsidRPr="00EF15D1">
        <w:rPr>
          <w:rFonts w:ascii="Times New Roman" w:eastAsia="Arial" w:hAnsi="Times New Roman" w:cs="Times New Roman"/>
          <w:i/>
          <w:sz w:val="26"/>
          <w:szCs w:val="26"/>
        </w:rPr>
        <w:t>See also United States v. Perez</w:t>
      </w:r>
      <w:r>
        <w:rPr>
          <w:rFonts w:ascii="Times New Roman" w:eastAsia="Arial" w:hAnsi="Times New Roman" w:cs="Times New Roman"/>
          <w:sz w:val="26"/>
          <w:szCs w:val="26"/>
        </w:rPr>
        <w:t>, 443 F.3d 772, 781 (11</w:t>
      </w:r>
      <w:r w:rsidRPr="00F6797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w:t>
      </w:r>
    </w:p>
    <w:p w:rsidR="009F5C1B" w:rsidRDefault="009F5C1B" w:rsidP="009F5C1B">
      <w:pPr>
        <w:spacing w:after="0" w:line="240" w:lineRule="auto"/>
        <w:jc w:val="both"/>
        <w:rPr>
          <w:rFonts w:ascii="Times New Roman" w:eastAsia="Arial" w:hAnsi="Times New Roman" w:cs="Times New Roman"/>
          <w:sz w:val="26"/>
          <w:szCs w:val="26"/>
        </w:rPr>
      </w:pPr>
    </w:p>
    <w:p w:rsidR="00725167" w:rsidRPr="009F5C1B" w:rsidRDefault="009F5C1B" w:rsidP="009F5C1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statute describes aggravating factors raising the statutory maximum penalty which, under the principle of </w:t>
      </w:r>
      <w:r w:rsidRPr="00EF15D1">
        <w:rPr>
          <w:rFonts w:ascii="Times New Roman" w:eastAsia="Arial" w:hAnsi="Times New Roman" w:cs="Times New Roman"/>
          <w:i/>
          <w:sz w:val="26"/>
          <w:szCs w:val="26"/>
        </w:rPr>
        <w:t>Apprendi v. New Jersey</w:t>
      </w:r>
      <w:r>
        <w:rPr>
          <w:rFonts w:ascii="Times New Roman" w:eastAsia="Arial" w:hAnsi="Times New Roman" w:cs="Times New Roman"/>
          <w:sz w:val="26"/>
          <w:szCs w:val="26"/>
        </w:rPr>
        <w:t>, 530 U.S. 466, 120 S. Ct. 2348 (2000), must be submitted as additional elements if charged in the indictment. These include: whether the offense was done for the purpose of commercial advantage or private gain,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whether the Defendant caused serious bodily injury (as defined in 18 U.S.C. § 1365) to a person or placed a person’s life in jeopardy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or whether death resulted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4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bookmarkEnd w:id="0"/>
    </w:p>
    <w:sectPr w:rsidR="00725167" w:rsidRPr="009F5C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92D" w:rsidRDefault="00D4492D" w:rsidP="00D4492D">
      <w:pPr>
        <w:spacing w:after="0" w:line="240" w:lineRule="auto"/>
      </w:pPr>
      <w:r>
        <w:separator/>
      </w:r>
    </w:p>
  </w:endnote>
  <w:endnote w:type="continuationSeparator" w:id="0">
    <w:p w:rsidR="00D4492D" w:rsidRDefault="00D4492D" w:rsidP="00D44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92D" w:rsidRDefault="00D4492D" w:rsidP="00D4492D">
      <w:pPr>
        <w:spacing w:after="0" w:line="240" w:lineRule="auto"/>
      </w:pPr>
      <w:r>
        <w:separator/>
      </w:r>
    </w:p>
  </w:footnote>
  <w:footnote w:type="continuationSeparator" w:id="0">
    <w:p w:rsidR="00D4492D" w:rsidRDefault="00D4492D" w:rsidP="00D449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4B9"/>
    <w:rsid w:val="00290544"/>
    <w:rsid w:val="002B6595"/>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B4475"/>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61C49"/>
    <w:rsid w:val="00970D47"/>
    <w:rsid w:val="009745AC"/>
    <w:rsid w:val="00980E88"/>
    <w:rsid w:val="009A4745"/>
    <w:rsid w:val="009B3EC8"/>
    <w:rsid w:val="009C1E78"/>
    <w:rsid w:val="009E1B73"/>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4492D"/>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5D1"/>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44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92D"/>
  </w:style>
  <w:style w:type="paragraph" w:styleId="Footer">
    <w:name w:val="footer"/>
    <w:basedOn w:val="Normal"/>
    <w:link w:val="FooterChar"/>
    <w:uiPriority w:val="99"/>
    <w:unhideWhenUsed/>
    <w:rsid w:val="00D44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9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D44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92D"/>
  </w:style>
  <w:style w:type="paragraph" w:styleId="Footer">
    <w:name w:val="footer"/>
    <w:basedOn w:val="Normal"/>
    <w:link w:val="FooterChar"/>
    <w:uiPriority w:val="99"/>
    <w:unhideWhenUsed/>
    <w:rsid w:val="00D44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2014-04-01T16:55:00Z</dcterms:created>
  <dcterms:modified xsi:type="dcterms:W3CDTF">2014-06-17T12:15:00Z</dcterms:modified>
</cp:coreProperties>
</file>