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CBC" w:rsidRDefault="007F0CBC" w:rsidP="007F0CBC">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jc w:val="both"/>
        <w:rPr>
          <w:rFonts w:ascii="Times New Roman" w:eastAsia="Arial" w:hAnsi="Times New Roman"/>
          <w:sz w:val="26"/>
          <w:szCs w:val="26"/>
        </w:rPr>
      </w:pPr>
      <w:r>
        <w:rPr>
          <w:rFonts w:ascii="Times New Roman" w:eastAsia="Arial" w:hAnsi="Times New Roman"/>
          <w:sz w:val="26"/>
          <w:szCs w:val="26"/>
        </w:rPr>
        <w:t>8 U.S.C. § 1326</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ind w:left="360" w:right="360"/>
        <w:jc w:val="both"/>
        <w:rPr>
          <w:rFonts w:ascii="Times New Roman" w:eastAsia="Arial" w:hAnsi="Times New Roman"/>
          <w:sz w:val="26"/>
          <w:szCs w:val="26"/>
        </w:rPr>
      </w:pPr>
      <w:r>
        <w:rPr>
          <w:rFonts w:ascii="Times New Roman" w:eastAsia="Arial" w:hAnsi="Times New Roman"/>
          <w:sz w:val="26"/>
          <w:szCs w:val="26"/>
        </w:rPr>
        <w:t>any alien who - -</w:t>
      </w:r>
    </w:p>
    <w:p w:rsidR="007F0CBC" w:rsidRDefault="007F0CBC" w:rsidP="007F0CBC">
      <w:pPr>
        <w:spacing w:after="0" w:line="240" w:lineRule="auto"/>
        <w:jc w:val="both"/>
        <w:rPr>
          <w:rFonts w:ascii="Times New Roman" w:eastAsia="Arial" w:hAnsi="Times New Roman"/>
          <w:sz w:val="26"/>
          <w:szCs w:val="26"/>
        </w:rPr>
      </w:pPr>
    </w:p>
    <w:p w:rsidR="007F0CBC" w:rsidRDefault="007F0CBC" w:rsidP="00BA126F">
      <w:pPr>
        <w:spacing w:after="0" w:line="240" w:lineRule="auto"/>
        <w:ind w:left="36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has been denied admission, excluded, deported, or removed or has departed the United States while an order of exclusion, deportation, or removal is outstanding, and thereafter</w:t>
      </w:r>
    </w:p>
    <w:p w:rsidR="007F0CBC" w:rsidRDefault="007F0CBC" w:rsidP="007F0CBC">
      <w:pPr>
        <w:spacing w:after="0" w:line="240" w:lineRule="auto"/>
        <w:jc w:val="both"/>
        <w:rPr>
          <w:rFonts w:ascii="Times New Roman" w:eastAsia="Arial" w:hAnsi="Times New Roman"/>
          <w:sz w:val="26"/>
          <w:szCs w:val="26"/>
        </w:rPr>
      </w:pPr>
    </w:p>
    <w:p w:rsidR="007F0CBC" w:rsidRDefault="007F0CBC" w:rsidP="00BA126F">
      <w:pPr>
        <w:spacing w:after="0" w:line="240" w:lineRule="auto"/>
        <w:ind w:left="36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enters, attempts to enter, or is at any time found in the United States, unless (A) prior to his reembarkation at a place outside the United States or his application for admission from foreign contiguous territory, the Attorney General has expressly consented to such alien’s reapplying for admission; or (B) with respect to an alien previously denied admission and removed, unless such alien shall establish that he was not required to obtain such advance consent under this chapter or any prior Act, shall be [guilty of an offense against the United States].</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Two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jc w:val="both"/>
        <w:rPr>
          <w:rFonts w:ascii="Times New Roman" w:eastAsia="Arial" w:hAnsi="Times New Roman"/>
          <w:sz w:val="26"/>
          <w:szCs w:val="26"/>
        </w:rPr>
      </w:pPr>
      <w:r>
        <w:rPr>
          <w:rFonts w:ascii="Times New Roman" w:eastAsia="Arial" w:hAnsi="Times New Roman"/>
          <w:sz w:val="26"/>
          <w:szCs w:val="26"/>
        </w:rPr>
        <w:t>6 U.S.C. § 557 provides:</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ind w:left="360" w:right="360"/>
        <w:jc w:val="both"/>
        <w:rPr>
          <w:rFonts w:ascii="Times New Roman" w:eastAsia="Arial" w:hAnsi="Times New Roman"/>
          <w:sz w:val="26"/>
          <w:szCs w:val="26"/>
        </w:rPr>
      </w:pPr>
      <w:r>
        <w:rPr>
          <w:rFonts w:ascii="Times New Roman" w:eastAsia="Arial" w:hAnsi="Times New Roman"/>
          <w:sz w:val="26"/>
          <w:szCs w:val="26"/>
        </w:rPr>
        <w:t>With respect to any function transferred by or under this chapter… reference in any other Federal law to any department, commission, or agency or any officer or office the functions of which are so transferred shall be deemed to refer to the Secretary, other official, or component of the Department [of Homeland Security] to which such function is so transferred.</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Specific intent is not an element of the unlawful reentry offense. </w:t>
      </w:r>
      <w:r w:rsidRPr="00BA126F">
        <w:rPr>
          <w:rFonts w:ascii="Times New Roman" w:eastAsia="Arial" w:hAnsi="Times New Roman"/>
          <w:i/>
          <w:sz w:val="26"/>
          <w:szCs w:val="26"/>
        </w:rPr>
        <w:t>United States v. Henry</w:t>
      </w:r>
      <w:r>
        <w:rPr>
          <w:rFonts w:ascii="Times New Roman" w:eastAsia="Arial" w:hAnsi="Times New Roman"/>
          <w:sz w:val="26"/>
          <w:szCs w:val="26"/>
        </w:rPr>
        <w:t>, 111 F.3d 111, 114 (11</w:t>
      </w:r>
      <w:r w:rsidRPr="00B03994">
        <w:rPr>
          <w:rFonts w:ascii="Times New Roman" w:eastAsia="Arial" w:hAnsi="Times New Roman"/>
          <w:sz w:val="26"/>
          <w:szCs w:val="26"/>
          <w:vertAlign w:val="superscript"/>
        </w:rPr>
        <w:t>th</w:t>
      </w:r>
      <w:r>
        <w:rPr>
          <w:rFonts w:ascii="Times New Roman" w:eastAsia="Arial" w:hAnsi="Times New Roman"/>
          <w:sz w:val="26"/>
          <w:szCs w:val="26"/>
        </w:rPr>
        <w:t xml:space="preserve"> Cir. 1997). Therefore, there is no mistake of law defense available. </w:t>
      </w:r>
      <w:r w:rsidRPr="00BA126F">
        <w:rPr>
          <w:rFonts w:ascii="Times New Roman" w:eastAsia="Arial" w:hAnsi="Times New Roman"/>
          <w:i/>
          <w:sz w:val="26"/>
          <w:szCs w:val="26"/>
        </w:rPr>
        <w:t>See United States v. Miranda-Enriquez</w:t>
      </w:r>
      <w:r>
        <w:rPr>
          <w:rFonts w:ascii="Times New Roman" w:eastAsia="Arial" w:hAnsi="Times New Roman"/>
          <w:sz w:val="26"/>
          <w:szCs w:val="26"/>
        </w:rPr>
        <w:t>, 842 F.2d 1211, 1213 (10</w:t>
      </w:r>
      <w:r w:rsidRPr="0067587D">
        <w:rPr>
          <w:rFonts w:ascii="Times New Roman" w:eastAsia="Arial" w:hAnsi="Times New Roman"/>
          <w:sz w:val="26"/>
          <w:szCs w:val="26"/>
          <w:vertAlign w:val="superscript"/>
        </w:rPr>
        <w:t>th</w:t>
      </w:r>
      <w:r>
        <w:rPr>
          <w:rFonts w:ascii="Times New Roman" w:eastAsia="Arial" w:hAnsi="Times New Roman"/>
          <w:sz w:val="26"/>
          <w:szCs w:val="26"/>
        </w:rPr>
        <w:t xml:space="preserve"> Cir. 1988) (“Because a mistake defense is possible only if there is some mental state required to establish a material element of the crime that the mistake can negate, a mistake instruction is required and a mistake defense is appropriate only if criminal intent plays a part in the crime charged.”) (internal citations and quotations omitted).</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An alien who approaches a port of entry and makes a false claim of citizenship or nonresident alien status has attempted to enter the United States. </w:t>
      </w:r>
      <w:r w:rsidRPr="00BA126F">
        <w:rPr>
          <w:rFonts w:ascii="Times New Roman" w:eastAsia="Arial" w:hAnsi="Times New Roman"/>
          <w:i/>
          <w:sz w:val="26"/>
          <w:szCs w:val="26"/>
        </w:rPr>
        <w:t>United States v. Cardenas-Alvarez</w:t>
      </w:r>
      <w:r>
        <w:rPr>
          <w:rFonts w:ascii="Times New Roman" w:eastAsia="Arial" w:hAnsi="Times New Roman"/>
          <w:sz w:val="26"/>
          <w:szCs w:val="26"/>
        </w:rPr>
        <w:t>, 987 F.2d 1129, 113233 (5</w:t>
      </w:r>
      <w:r w:rsidRPr="0067587D">
        <w:rPr>
          <w:rFonts w:ascii="Times New Roman" w:eastAsia="Arial" w:hAnsi="Times New Roman"/>
          <w:sz w:val="26"/>
          <w:szCs w:val="26"/>
          <w:vertAlign w:val="superscript"/>
        </w:rPr>
        <w:t>th</w:t>
      </w:r>
      <w:r>
        <w:rPr>
          <w:rFonts w:ascii="Times New Roman" w:eastAsia="Arial" w:hAnsi="Times New Roman"/>
          <w:sz w:val="26"/>
          <w:szCs w:val="26"/>
        </w:rPr>
        <w:t xml:space="preserve"> Cir. 1993).</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A violation of this section is a continuing offense that can run over a long period of time. The offense conduct begins when the alien illegally enters the United States and </w:t>
      </w:r>
      <w:r>
        <w:rPr>
          <w:rFonts w:ascii="Times New Roman" w:eastAsia="Arial" w:hAnsi="Times New Roman"/>
          <w:sz w:val="26"/>
          <w:szCs w:val="26"/>
        </w:rPr>
        <w:lastRenderedPageBreak/>
        <w:t xml:space="preserve">continues until the alien is actually “found” by immigration authorities. </w:t>
      </w:r>
      <w:r w:rsidRPr="00BA126F">
        <w:rPr>
          <w:rFonts w:ascii="Times New Roman" w:eastAsia="Arial" w:hAnsi="Times New Roman"/>
          <w:i/>
          <w:sz w:val="26"/>
          <w:szCs w:val="26"/>
        </w:rPr>
        <w:t>United States v. Scott</w:t>
      </w:r>
      <w:r>
        <w:rPr>
          <w:rFonts w:ascii="Times New Roman" w:eastAsia="Arial" w:hAnsi="Times New Roman"/>
          <w:sz w:val="26"/>
          <w:szCs w:val="26"/>
        </w:rPr>
        <w:t>, 447 F.3d 1365, 1369 (11</w:t>
      </w:r>
      <w:r w:rsidRPr="0067587D">
        <w:rPr>
          <w:rFonts w:ascii="Times New Roman" w:eastAsia="Arial" w:hAnsi="Times New Roman"/>
          <w:sz w:val="26"/>
          <w:szCs w:val="26"/>
          <w:vertAlign w:val="superscript"/>
        </w:rPr>
        <w:t>th</w:t>
      </w:r>
      <w:r>
        <w:rPr>
          <w:rFonts w:ascii="Times New Roman" w:eastAsia="Arial" w:hAnsi="Times New Roman"/>
          <w:sz w:val="26"/>
          <w:szCs w:val="26"/>
        </w:rPr>
        <w:t xml:space="preserve"> Cir. 2006). The phrase “found in” refers to the actions of federal immigration officials, not state law enforcement. </w:t>
      </w:r>
      <w:r w:rsidRPr="00BA126F">
        <w:rPr>
          <w:rFonts w:ascii="Times New Roman" w:eastAsia="Arial" w:hAnsi="Times New Roman"/>
          <w:i/>
          <w:sz w:val="26"/>
          <w:szCs w:val="26"/>
        </w:rPr>
        <w:t>United States v. Clarke</w:t>
      </w:r>
      <w:r>
        <w:rPr>
          <w:rFonts w:ascii="Times New Roman" w:eastAsia="Arial" w:hAnsi="Times New Roman"/>
          <w:sz w:val="26"/>
          <w:szCs w:val="26"/>
        </w:rPr>
        <w:t>, 312 F.3d 1343, 1348 (11</w:t>
      </w:r>
      <w:r w:rsidRPr="0067587D">
        <w:rPr>
          <w:rFonts w:ascii="Times New Roman" w:eastAsia="Arial" w:hAnsi="Times New Roman"/>
          <w:sz w:val="26"/>
          <w:szCs w:val="26"/>
          <w:vertAlign w:val="superscript"/>
        </w:rPr>
        <w:t>th</w:t>
      </w:r>
      <w:r>
        <w:rPr>
          <w:rFonts w:ascii="Times New Roman" w:eastAsia="Arial" w:hAnsi="Times New Roman"/>
          <w:sz w:val="26"/>
          <w:szCs w:val="26"/>
        </w:rPr>
        <w:t xml:space="preserve"> Cir. 2002). The alien is constructively “found” in the United States “when the Government either knows of or, with the exercise of diligence typical of law enforcement authorities, could have discovered the illegality of the alien’s presence.” </w:t>
      </w:r>
      <w:r w:rsidRPr="00BA126F">
        <w:rPr>
          <w:rFonts w:ascii="Times New Roman" w:eastAsia="Arial" w:hAnsi="Times New Roman"/>
          <w:i/>
          <w:sz w:val="26"/>
          <w:szCs w:val="26"/>
        </w:rPr>
        <w:t>Scott</w:t>
      </w:r>
      <w:r>
        <w:rPr>
          <w:rFonts w:ascii="Times New Roman" w:eastAsia="Arial" w:hAnsi="Times New Roman"/>
          <w:sz w:val="26"/>
          <w:szCs w:val="26"/>
        </w:rPr>
        <w:t>, 447 F.3d at 1369 (citations and internal quotations omitted).</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An indictment under this section may be dismissed if the Defendant makes a successful collateral attack on his prior deportation. </w:t>
      </w:r>
      <w:r w:rsidRPr="00BA126F">
        <w:rPr>
          <w:rFonts w:ascii="Times New Roman" w:eastAsia="Arial" w:hAnsi="Times New Roman"/>
          <w:i/>
          <w:sz w:val="26"/>
          <w:szCs w:val="26"/>
        </w:rPr>
        <w:t>United States v. Holland</w:t>
      </w:r>
      <w:r>
        <w:rPr>
          <w:rFonts w:ascii="Times New Roman" w:eastAsia="Arial" w:hAnsi="Times New Roman"/>
          <w:sz w:val="26"/>
          <w:szCs w:val="26"/>
        </w:rPr>
        <w:t>, 876 F.2d 1533, 1535-56 (11</w:t>
      </w:r>
      <w:r w:rsidRPr="0067587D">
        <w:rPr>
          <w:rFonts w:ascii="Times New Roman" w:eastAsia="Arial" w:hAnsi="Times New Roman"/>
          <w:sz w:val="26"/>
          <w:szCs w:val="26"/>
          <w:vertAlign w:val="superscript"/>
        </w:rPr>
        <w:t>th</w:t>
      </w:r>
      <w:r>
        <w:rPr>
          <w:rFonts w:ascii="Times New Roman" w:eastAsia="Arial" w:hAnsi="Times New Roman"/>
          <w:sz w:val="26"/>
          <w:szCs w:val="26"/>
        </w:rPr>
        <w:t xml:space="preserve"> Cir. 1989). He must show that: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1 </w:instrText>
      </w:r>
      <w:r>
        <w:rPr>
          <w:rFonts w:ascii="Times New Roman" w:eastAsia="Arial" w:hAnsi="Times New Roman"/>
          <w:sz w:val="26"/>
          <w:szCs w:val="26"/>
        </w:rPr>
        <w:fldChar w:fldCharType="end"/>
      </w:r>
      <w:r>
        <w:rPr>
          <w:rFonts w:ascii="Times New Roman" w:eastAsia="Arial" w:hAnsi="Times New Roman"/>
          <w:sz w:val="26"/>
          <w:szCs w:val="26"/>
        </w:rPr>
        <w:t xml:space="preserve"> he “exhausted any administrative remedies that may have been available to seek relief against the order;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2 </w:instrText>
      </w:r>
      <w:r>
        <w:rPr>
          <w:rFonts w:ascii="Times New Roman" w:eastAsia="Arial" w:hAnsi="Times New Roman"/>
          <w:sz w:val="26"/>
          <w:szCs w:val="26"/>
        </w:rPr>
        <w:fldChar w:fldCharType="end"/>
      </w:r>
      <w:r>
        <w:rPr>
          <w:rFonts w:ascii="Times New Roman" w:eastAsia="Arial" w:hAnsi="Times New Roman"/>
          <w:sz w:val="26"/>
          <w:szCs w:val="26"/>
        </w:rPr>
        <w:t xml:space="preserve"> the deportation proceeding at which the order was issued improperly deprived the alien of an opportunity for judicial review; and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3 </w:instrText>
      </w:r>
      <w:r>
        <w:rPr>
          <w:rFonts w:ascii="Times New Roman" w:eastAsia="Arial" w:hAnsi="Times New Roman"/>
          <w:sz w:val="26"/>
          <w:szCs w:val="26"/>
        </w:rPr>
        <w:fldChar w:fldCharType="end"/>
      </w:r>
      <w:r>
        <w:rPr>
          <w:rFonts w:ascii="Times New Roman" w:eastAsia="Arial" w:hAnsi="Times New Roman"/>
          <w:sz w:val="26"/>
          <w:szCs w:val="26"/>
        </w:rPr>
        <w:t xml:space="preserve"> the entry of the order was fundamentally unfair.” </w:t>
      </w:r>
      <w:r w:rsidRPr="00BA126F">
        <w:rPr>
          <w:rFonts w:ascii="Times New Roman" w:eastAsia="Arial" w:hAnsi="Times New Roman"/>
          <w:i/>
          <w:sz w:val="26"/>
          <w:szCs w:val="26"/>
        </w:rPr>
        <w:t>United States v. Zelaya</w:t>
      </w:r>
      <w:r>
        <w:rPr>
          <w:rFonts w:ascii="Times New Roman" w:eastAsia="Arial" w:hAnsi="Times New Roman"/>
          <w:sz w:val="26"/>
          <w:szCs w:val="26"/>
        </w:rPr>
        <w:t>, 293 F.3d 1294, 1297 (11</w:t>
      </w:r>
      <w:r w:rsidRPr="00DA475C">
        <w:rPr>
          <w:rFonts w:ascii="Times New Roman" w:eastAsia="Arial" w:hAnsi="Times New Roman"/>
          <w:sz w:val="26"/>
          <w:szCs w:val="26"/>
          <w:vertAlign w:val="superscript"/>
        </w:rPr>
        <w:t>th</w:t>
      </w:r>
      <w:r>
        <w:rPr>
          <w:rFonts w:ascii="Times New Roman" w:eastAsia="Arial" w:hAnsi="Times New Roman"/>
          <w:sz w:val="26"/>
          <w:szCs w:val="26"/>
        </w:rPr>
        <w:t xml:space="preserve"> Cir. 2002). “Fundamentally unfair” means, “at a minimum… that the outcome of the deportation proceeding would have been different but for a particular error.” </w:t>
      </w:r>
      <w:r w:rsidRPr="00BA126F">
        <w:rPr>
          <w:rFonts w:ascii="Times New Roman" w:eastAsia="Arial" w:hAnsi="Times New Roman"/>
          <w:i/>
          <w:sz w:val="26"/>
          <w:szCs w:val="26"/>
        </w:rPr>
        <w:t>Id</w:t>
      </w:r>
      <w:r>
        <w:rPr>
          <w:rFonts w:ascii="Times New Roman" w:eastAsia="Arial" w:hAnsi="Times New Roman"/>
          <w:sz w:val="26"/>
          <w:szCs w:val="26"/>
        </w:rPr>
        <w:t>. at 1298.</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Surreptitious reentry is not a prerequisite to prosecution of being “found” in the United States. </w:t>
      </w:r>
      <w:r w:rsidRPr="00BA126F">
        <w:rPr>
          <w:rFonts w:ascii="Times New Roman" w:eastAsia="Arial" w:hAnsi="Times New Roman"/>
          <w:i/>
          <w:sz w:val="26"/>
          <w:szCs w:val="26"/>
        </w:rPr>
        <w:t>United States v. Gay</w:t>
      </w:r>
      <w:r>
        <w:rPr>
          <w:rFonts w:ascii="Times New Roman" w:eastAsia="Arial" w:hAnsi="Times New Roman"/>
          <w:sz w:val="26"/>
          <w:szCs w:val="26"/>
        </w:rPr>
        <w:t>, 7 F.3d 200, 202 (11</w:t>
      </w:r>
      <w:r w:rsidRPr="00DA475C">
        <w:rPr>
          <w:rFonts w:ascii="Times New Roman" w:eastAsia="Arial" w:hAnsi="Times New Roman"/>
          <w:sz w:val="26"/>
          <w:szCs w:val="26"/>
          <w:vertAlign w:val="superscript"/>
        </w:rPr>
        <w:t>th</w:t>
      </w:r>
      <w:r>
        <w:rPr>
          <w:rFonts w:ascii="Times New Roman" w:eastAsia="Arial" w:hAnsi="Times New Roman"/>
          <w:sz w:val="26"/>
          <w:szCs w:val="26"/>
        </w:rPr>
        <w:t xml:space="preserve"> Cir. 1993).</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jc w:val="both"/>
        <w:rPr>
          <w:rFonts w:ascii="Times New Roman" w:eastAsia="Arial" w:hAnsi="Times New Roman"/>
          <w:sz w:val="26"/>
          <w:szCs w:val="26"/>
        </w:rPr>
      </w:pPr>
      <w:r w:rsidRPr="00BA126F">
        <w:rPr>
          <w:rFonts w:ascii="Times New Roman" w:eastAsia="Arial" w:hAnsi="Times New Roman"/>
          <w:i/>
          <w:sz w:val="26"/>
          <w:szCs w:val="26"/>
        </w:rPr>
        <w:t>See United States v. Barnes</w:t>
      </w:r>
      <w:r>
        <w:rPr>
          <w:rFonts w:ascii="Times New Roman" w:eastAsia="Arial" w:hAnsi="Times New Roman"/>
          <w:sz w:val="26"/>
          <w:szCs w:val="26"/>
        </w:rPr>
        <w:t>, 244 F.3d 331, 334 (2</w:t>
      </w:r>
      <w:r w:rsidR="005F24D4">
        <w:rPr>
          <w:rFonts w:ascii="Times New Roman" w:eastAsia="Arial" w:hAnsi="Times New Roman"/>
          <w:sz w:val="26"/>
          <w:szCs w:val="26"/>
        </w:rPr>
        <w:t>d</w:t>
      </w:r>
      <w:r>
        <w:rPr>
          <w:rFonts w:ascii="Times New Roman" w:eastAsia="Arial" w:hAnsi="Times New Roman"/>
          <w:sz w:val="26"/>
          <w:szCs w:val="26"/>
        </w:rPr>
        <w:t xml:space="preserve"> Cir. 2001).</w:t>
      </w:r>
    </w:p>
    <w:p w:rsidR="007F0CBC" w:rsidRDefault="007F0CBC" w:rsidP="007F0CBC">
      <w:pPr>
        <w:spacing w:after="0" w:line="240" w:lineRule="auto"/>
        <w:jc w:val="both"/>
        <w:rPr>
          <w:rFonts w:ascii="Times New Roman" w:eastAsia="Arial" w:hAnsi="Times New Roman"/>
          <w:sz w:val="26"/>
          <w:szCs w:val="26"/>
        </w:rPr>
      </w:pPr>
    </w:p>
    <w:p w:rsidR="007F0CBC" w:rsidRDefault="007F0CBC" w:rsidP="007F0C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An alien within the United States is not “found in” the United States if he or she approaches a recognized port of entry and produces his identity seeking admission. </w:t>
      </w:r>
      <w:r w:rsidRPr="00BA126F">
        <w:rPr>
          <w:rFonts w:ascii="Times New Roman" w:eastAsia="Arial" w:hAnsi="Times New Roman"/>
          <w:i/>
          <w:sz w:val="26"/>
          <w:szCs w:val="26"/>
        </w:rPr>
        <w:t>United States v. Jose Manuel Angeles-Mascote</w:t>
      </w:r>
      <w:r>
        <w:rPr>
          <w:rFonts w:ascii="Times New Roman" w:eastAsia="Arial" w:hAnsi="Times New Roman"/>
          <w:sz w:val="26"/>
          <w:szCs w:val="26"/>
        </w:rPr>
        <w:t>, 206 F.3d 529, 531 (5</w:t>
      </w:r>
      <w:r w:rsidRPr="00DA475C">
        <w:rPr>
          <w:rFonts w:ascii="Times New Roman" w:eastAsia="Arial" w:hAnsi="Times New Roman"/>
          <w:sz w:val="26"/>
          <w:szCs w:val="26"/>
          <w:vertAlign w:val="superscript"/>
        </w:rPr>
        <w:t>th</w:t>
      </w:r>
      <w:r>
        <w:rPr>
          <w:rFonts w:ascii="Times New Roman" w:eastAsia="Arial" w:hAnsi="Times New Roman"/>
          <w:sz w:val="26"/>
          <w:szCs w:val="26"/>
        </w:rPr>
        <w:t xml:space="preserve"> Cir. 2000).</w:t>
      </w:r>
    </w:p>
    <w:p w:rsidR="007F0CBC" w:rsidRDefault="007F0CBC" w:rsidP="007F0CBC">
      <w:pPr>
        <w:spacing w:after="0" w:line="240" w:lineRule="auto"/>
        <w:jc w:val="both"/>
        <w:rPr>
          <w:rFonts w:ascii="Times New Roman" w:eastAsia="Arial" w:hAnsi="Times New Roman"/>
          <w:sz w:val="26"/>
          <w:szCs w:val="26"/>
        </w:rPr>
      </w:pPr>
    </w:p>
    <w:p w:rsidR="00725167" w:rsidRPr="007F0CBC" w:rsidRDefault="007F0CBC" w:rsidP="007F0CB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Proof of the Defendant’s commission of an aggravated felony prior to deportation is not an element of the offense; rather it is a punishment provision used in addressing recidivism. </w:t>
      </w:r>
      <w:r w:rsidRPr="00BA126F">
        <w:rPr>
          <w:rFonts w:ascii="Times New Roman" w:eastAsia="Arial" w:hAnsi="Times New Roman"/>
          <w:i/>
          <w:sz w:val="26"/>
          <w:szCs w:val="26"/>
        </w:rPr>
        <w:t>Almendarez-Torres v. United States</w:t>
      </w:r>
      <w:r>
        <w:rPr>
          <w:rFonts w:ascii="Times New Roman" w:eastAsia="Arial" w:hAnsi="Times New Roman"/>
          <w:sz w:val="26"/>
          <w:szCs w:val="26"/>
        </w:rPr>
        <w:t xml:space="preserve">, 523 U.S. 224, 247-48, 118 S. Ct. 1219, 1232-33 (1998). The Eleventh Circuit speaks of the “non effect” of </w:t>
      </w:r>
      <w:r w:rsidRPr="00BA126F">
        <w:rPr>
          <w:rFonts w:ascii="Times New Roman" w:eastAsia="Arial" w:hAnsi="Times New Roman"/>
          <w:i/>
          <w:sz w:val="26"/>
          <w:szCs w:val="26"/>
        </w:rPr>
        <w:t>Apprendi</w:t>
      </w:r>
      <w:r>
        <w:rPr>
          <w:rFonts w:ascii="Times New Roman" w:eastAsia="Arial" w:hAnsi="Times New Roman"/>
          <w:sz w:val="26"/>
          <w:szCs w:val="26"/>
        </w:rPr>
        <w:t xml:space="preserve"> and </w:t>
      </w:r>
      <w:r w:rsidRPr="00BA126F">
        <w:rPr>
          <w:rFonts w:ascii="Times New Roman" w:eastAsia="Arial" w:hAnsi="Times New Roman"/>
          <w:i/>
          <w:sz w:val="26"/>
          <w:szCs w:val="26"/>
        </w:rPr>
        <w:t>Booker</w:t>
      </w:r>
      <w:r>
        <w:rPr>
          <w:rFonts w:ascii="Times New Roman" w:eastAsia="Arial" w:hAnsi="Times New Roman"/>
          <w:sz w:val="26"/>
          <w:szCs w:val="26"/>
        </w:rPr>
        <w:t xml:space="preserve"> on the </w:t>
      </w:r>
      <w:r w:rsidRPr="00BA126F">
        <w:rPr>
          <w:rFonts w:ascii="Times New Roman" w:eastAsia="Arial" w:hAnsi="Times New Roman"/>
          <w:i/>
          <w:sz w:val="26"/>
          <w:szCs w:val="26"/>
        </w:rPr>
        <w:t>Almendarez-Torres</w:t>
      </w:r>
      <w:r>
        <w:rPr>
          <w:rFonts w:ascii="Times New Roman" w:eastAsia="Arial" w:hAnsi="Times New Roman"/>
          <w:sz w:val="26"/>
          <w:szCs w:val="26"/>
        </w:rPr>
        <w:t xml:space="preserve"> rule that the government is not required to prove prior convictions to a jury, beyond a reasonable doubt. </w:t>
      </w:r>
      <w:r w:rsidRPr="00BA126F">
        <w:rPr>
          <w:rFonts w:ascii="Times New Roman" w:eastAsia="Arial" w:hAnsi="Times New Roman"/>
          <w:i/>
          <w:sz w:val="26"/>
          <w:szCs w:val="26"/>
        </w:rPr>
        <w:t>United States v. Greer</w:t>
      </w:r>
      <w:r>
        <w:rPr>
          <w:rFonts w:ascii="Times New Roman" w:eastAsia="Arial" w:hAnsi="Times New Roman"/>
          <w:sz w:val="26"/>
          <w:szCs w:val="26"/>
        </w:rPr>
        <w:t>, 440 F.3d 1267, 1273-75 (11</w:t>
      </w:r>
      <w:r w:rsidRPr="00DA475C">
        <w:rPr>
          <w:rFonts w:ascii="Times New Roman" w:eastAsia="Arial" w:hAnsi="Times New Roman"/>
          <w:sz w:val="26"/>
          <w:szCs w:val="26"/>
          <w:vertAlign w:val="superscript"/>
        </w:rPr>
        <w:t>th</w:t>
      </w:r>
      <w:r>
        <w:rPr>
          <w:rFonts w:ascii="Times New Roman" w:eastAsia="Arial" w:hAnsi="Times New Roman"/>
          <w:sz w:val="26"/>
          <w:szCs w:val="26"/>
        </w:rPr>
        <w:t xml:space="preserve"> Cir. 2006).</w:t>
      </w:r>
      <w:bookmarkEnd w:id="0"/>
    </w:p>
    <w:sectPr w:rsidR="00725167" w:rsidRPr="007F0C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B8A" w:rsidRDefault="00A36B8A" w:rsidP="00A36B8A">
      <w:pPr>
        <w:spacing w:after="0" w:line="240" w:lineRule="auto"/>
      </w:pPr>
      <w:r>
        <w:separator/>
      </w:r>
    </w:p>
  </w:endnote>
  <w:endnote w:type="continuationSeparator" w:id="0">
    <w:p w:rsidR="00A36B8A" w:rsidRDefault="00A36B8A" w:rsidP="00A36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B8A" w:rsidRDefault="00A36B8A" w:rsidP="00A36B8A">
      <w:pPr>
        <w:spacing w:after="0" w:line="240" w:lineRule="auto"/>
      </w:pPr>
      <w:r>
        <w:separator/>
      </w:r>
    </w:p>
  </w:footnote>
  <w:footnote w:type="continuationSeparator" w:id="0">
    <w:p w:rsidR="00A36B8A" w:rsidRDefault="00A36B8A" w:rsidP="00A36B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2F99"/>
    <w:rsid w:val="002161E7"/>
    <w:rsid w:val="002329BF"/>
    <w:rsid w:val="00233997"/>
    <w:rsid w:val="00236275"/>
    <w:rsid w:val="00245EF2"/>
    <w:rsid w:val="00246533"/>
    <w:rsid w:val="002604B9"/>
    <w:rsid w:val="00290544"/>
    <w:rsid w:val="002B6595"/>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33E75"/>
    <w:rsid w:val="00543EBC"/>
    <w:rsid w:val="0056064A"/>
    <w:rsid w:val="00565EF7"/>
    <w:rsid w:val="00586722"/>
    <w:rsid w:val="005B45D9"/>
    <w:rsid w:val="005C4DB9"/>
    <w:rsid w:val="005E6914"/>
    <w:rsid w:val="005F24D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0CBC"/>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0040"/>
    <w:rsid w:val="009F5C1B"/>
    <w:rsid w:val="009F5DAD"/>
    <w:rsid w:val="00A355FD"/>
    <w:rsid w:val="00A36B8A"/>
    <w:rsid w:val="00A53126"/>
    <w:rsid w:val="00A66EA6"/>
    <w:rsid w:val="00A746F3"/>
    <w:rsid w:val="00A82412"/>
    <w:rsid w:val="00AA01A6"/>
    <w:rsid w:val="00AA4174"/>
    <w:rsid w:val="00AC24E2"/>
    <w:rsid w:val="00AE0F43"/>
    <w:rsid w:val="00AE20D4"/>
    <w:rsid w:val="00AF2C77"/>
    <w:rsid w:val="00B111CD"/>
    <w:rsid w:val="00B11304"/>
    <w:rsid w:val="00B523E6"/>
    <w:rsid w:val="00B55CBA"/>
    <w:rsid w:val="00B64F36"/>
    <w:rsid w:val="00B8093D"/>
    <w:rsid w:val="00B83F0B"/>
    <w:rsid w:val="00B85D99"/>
    <w:rsid w:val="00B930F5"/>
    <w:rsid w:val="00BA126F"/>
    <w:rsid w:val="00BA1F2B"/>
    <w:rsid w:val="00BA6680"/>
    <w:rsid w:val="00BC6D90"/>
    <w:rsid w:val="00BD01A4"/>
    <w:rsid w:val="00BE616A"/>
    <w:rsid w:val="00BE645C"/>
    <w:rsid w:val="00C1091D"/>
    <w:rsid w:val="00C60792"/>
    <w:rsid w:val="00C6290E"/>
    <w:rsid w:val="00C8383F"/>
    <w:rsid w:val="00C83E88"/>
    <w:rsid w:val="00CA3187"/>
    <w:rsid w:val="00CA4FB6"/>
    <w:rsid w:val="00CB4D2A"/>
    <w:rsid w:val="00CC4195"/>
    <w:rsid w:val="00CC4FBE"/>
    <w:rsid w:val="00CD2013"/>
    <w:rsid w:val="00CD51F7"/>
    <w:rsid w:val="00CD734E"/>
    <w:rsid w:val="00CE7DC5"/>
    <w:rsid w:val="00CF4E02"/>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F1AED"/>
    <w:rsid w:val="00F20C0B"/>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36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B8A"/>
  </w:style>
  <w:style w:type="paragraph" w:styleId="Footer">
    <w:name w:val="footer"/>
    <w:basedOn w:val="Normal"/>
    <w:link w:val="FooterChar"/>
    <w:uiPriority w:val="99"/>
    <w:unhideWhenUsed/>
    <w:rsid w:val="00A36B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36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B8A"/>
  </w:style>
  <w:style w:type="paragraph" w:styleId="Footer">
    <w:name w:val="footer"/>
    <w:basedOn w:val="Normal"/>
    <w:link w:val="FooterChar"/>
    <w:uiPriority w:val="99"/>
    <w:unhideWhenUsed/>
    <w:rsid w:val="00A36B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2014-04-01T17:01:00Z</dcterms:created>
  <dcterms:modified xsi:type="dcterms:W3CDTF">2014-06-17T12:09:00Z</dcterms:modified>
</cp:coreProperties>
</file>