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B5" w:rsidRDefault="003C2AB5" w:rsidP="003C2AB5">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3C2AB5" w:rsidRPr="00621981" w:rsidRDefault="003C2AB5" w:rsidP="003C2AB5">
      <w:pPr>
        <w:spacing w:after="0" w:line="240" w:lineRule="auto"/>
        <w:jc w:val="both"/>
        <w:rPr>
          <w:rFonts w:ascii="Times New Roman" w:eastAsia="Arial" w:hAnsi="Times New Roman"/>
        </w:rPr>
      </w:pPr>
    </w:p>
    <w:p w:rsidR="003C2AB5" w:rsidRDefault="003C2AB5" w:rsidP="003C2AB5">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21 U.S.C. </w:t>
      </w:r>
      <w:r>
        <w:rPr>
          <w:rFonts w:ascii="Times New Roman" w:eastAsia="Arial" w:hAnsi="Times New Roman" w:cs="Times New Roman"/>
          <w:sz w:val="26"/>
          <w:szCs w:val="26"/>
        </w:rPr>
        <w:t>§</w:t>
      </w:r>
      <w:r>
        <w:rPr>
          <w:rFonts w:ascii="Times New Roman" w:eastAsia="Arial" w:hAnsi="Times New Roman"/>
          <w:sz w:val="26"/>
          <w:szCs w:val="26"/>
        </w:rPr>
        <w:t xml:space="preserve"> 843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3C2AB5" w:rsidRPr="00621981" w:rsidRDefault="003C2AB5" w:rsidP="003C2AB5">
      <w:pPr>
        <w:spacing w:after="0" w:line="240" w:lineRule="auto"/>
        <w:jc w:val="both"/>
        <w:rPr>
          <w:rFonts w:ascii="Times New Roman" w:eastAsia="Arial" w:hAnsi="Times New Roman"/>
        </w:rPr>
      </w:pPr>
    </w:p>
    <w:p w:rsidR="003C2AB5" w:rsidRDefault="003C2AB5" w:rsidP="003C2AB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It shall be unlawful for any person knowingly or intentionally to use any communication facility in committing or in causing or facilitating the commission of any act or acts constituting a felony under any provision of this subchapter or subchapter II of this chapter.</w:t>
      </w:r>
    </w:p>
    <w:p w:rsidR="003C2AB5" w:rsidRPr="00621981" w:rsidRDefault="003C2AB5" w:rsidP="003C2AB5">
      <w:pPr>
        <w:spacing w:after="0" w:line="240" w:lineRule="auto"/>
        <w:jc w:val="both"/>
        <w:rPr>
          <w:rFonts w:ascii="Times New Roman" w:eastAsia="Arial" w:hAnsi="Times New Roman" w:cs="Times New Roman"/>
        </w:rPr>
      </w:pPr>
    </w:p>
    <w:p w:rsidR="003C2AB5" w:rsidRPr="00621981" w:rsidRDefault="003C2AB5" w:rsidP="00621981">
      <w:pPr>
        <w:spacing w:after="0" w:line="240" w:lineRule="auto"/>
        <w:ind w:left="2102" w:hanging="2102"/>
        <w:jc w:val="both"/>
        <w:rPr>
          <w:rFonts w:ascii="Times New Roman" w:eastAsia="Arial" w:hAnsi="Times New Roman" w:cs="Times New Roman"/>
          <w:spacing w:val="-4"/>
          <w:sz w:val="26"/>
          <w:szCs w:val="26"/>
        </w:rPr>
      </w:pPr>
      <w:r w:rsidRPr="00621981">
        <w:rPr>
          <w:rFonts w:ascii="Times New Roman" w:eastAsia="Arial" w:hAnsi="Times New Roman" w:cs="Times New Roman"/>
          <w:spacing w:val="-4"/>
          <w:sz w:val="26"/>
          <w:szCs w:val="26"/>
        </w:rPr>
        <w:t xml:space="preserve">Maximum Penalty: Four </w:t>
      </w:r>
      <w:r w:rsidRPr="00621981">
        <w:rPr>
          <w:rFonts w:ascii="Times New Roman" w:eastAsia="Arial" w:hAnsi="Times New Roman" w:cs="Times New Roman"/>
          <w:spacing w:val="-4"/>
          <w:sz w:val="26"/>
          <w:szCs w:val="26"/>
        </w:rPr>
        <w:fldChar w:fldCharType="begin"/>
      </w:r>
      <w:r w:rsidRPr="00621981">
        <w:rPr>
          <w:rFonts w:ascii="Times New Roman" w:eastAsia="Arial" w:hAnsi="Times New Roman" w:cs="Times New Roman"/>
          <w:spacing w:val="-4"/>
          <w:sz w:val="26"/>
          <w:szCs w:val="26"/>
        </w:rPr>
        <w:instrText xml:space="preserve"> LISTNUM  NumberDefault \l 4 \s 4 </w:instrText>
      </w:r>
      <w:r w:rsidRPr="00621981">
        <w:rPr>
          <w:rFonts w:ascii="Times New Roman" w:eastAsia="Arial" w:hAnsi="Times New Roman" w:cs="Times New Roman"/>
          <w:spacing w:val="-4"/>
          <w:sz w:val="26"/>
          <w:szCs w:val="26"/>
        </w:rPr>
        <w:fldChar w:fldCharType="end"/>
      </w:r>
      <w:r w:rsidRPr="00621981">
        <w:rPr>
          <w:rFonts w:ascii="Times New Roman" w:eastAsia="Arial" w:hAnsi="Times New Roman" w:cs="Times New Roman"/>
          <w:spacing w:val="-4"/>
          <w:sz w:val="26"/>
          <w:szCs w:val="26"/>
        </w:rPr>
        <w:t xml:space="preserve"> years imprisonment and applicable fine. 21 U.S.C. § 843</w:t>
      </w:r>
      <w:r w:rsidRPr="00621981">
        <w:rPr>
          <w:rFonts w:ascii="Times New Roman" w:eastAsia="Arial" w:hAnsi="Times New Roman" w:cs="Times New Roman"/>
          <w:spacing w:val="-4"/>
          <w:sz w:val="26"/>
          <w:szCs w:val="26"/>
        </w:rPr>
        <w:fldChar w:fldCharType="begin"/>
      </w:r>
      <w:r w:rsidRPr="00621981">
        <w:rPr>
          <w:rFonts w:ascii="Times New Roman" w:eastAsia="Arial" w:hAnsi="Times New Roman" w:cs="Times New Roman"/>
          <w:spacing w:val="-4"/>
          <w:sz w:val="26"/>
          <w:szCs w:val="26"/>
        </w:rPr>
        <w:instrText xml:space="preserve"> LISTNUM  NumberDefault \l 5 \s 4 </w:instrText>
      </w:r>
      <w:r w:rsidRPr="00621981">
        <w:rPr>
          <w:rFonts w:ascii="Times New Roman" w:eastAsia="Arial" w:hAnsi="Times New Roman" w:cs="Times New Roman"/>
          <w:spacing w:val="-4"/>
          <w:sz w:val="26"/>
          <w:szCs w:val="26"/>
        </w:rPr>
        <w:fldChar w:fldCharType="end"/>
      </w:r>
      <w:r w:rsidRPr="00621981">
        <w:rPr>
          <w:rFonts w:ascii="Times New Roman" w:eastAsia="Arial" w:hAnsi="Times New Roman" w:cs="Times New Roman"/>
          <w:spacing w:val="-4"/>
          <w:sz w:val="26"/>
          <w:szCs w:val="26"/>
        </w:rPr>
        <w:fldChar w:fldCharType="begin"/>
      </w:r>
      <w:r w:rsidRPr="00621981">
        <w:rPr>
          <w:rFonts w:ascii="Times New Roman" w:eastAsia="Arial" w:hAnsi="Times New Roman" w:cs="Times New Roman"/>
          <w:spacing w:val="-4"/>
          <w:sz w:val="26"/>
          <w:szCs w:val="26"/>
        </w:rPr>
        <w:instrText xml:space="preserve"> LISTNUM  NumberDefault \l 4 \s 1 </w:instrText>
      </w:r>
      <w:r w:rsidRPr="00621981">
        <w:rPr>
          <w:rFonts w:ascii="Times New Roman" w:eastAsia="Arial" w:hAnsi="Times New Roman" w:cs="Times New Roman"/>
          <w:spacing w:val="-4"/>
          <w:sz w:val="26"/>
          <w:szCs w:val="26"/>
        </w:rPr>
        <w:fldChar w:fldCharType="end"/>
      </w:r>
      <w:r w:rsidRPr="00621981">
        <w:rPr>
          <w:rFonts w:ascii="Times New Roman" w:eastAsia="Arial" w:hAnsi="Times New Roman" w:cs="Times New Roman"/>
          <w:spacing w:val="-4"/>
          <w:sz w:val="26"/>
          <w:szCs w:val="26"/>
        </w:rPr>
        <w:t>.</w:t>
      </w:r>
    </w:p>
    <w:p w:rsidR="003C2AB5" w:rsidRPr="00621981" w:rsidRDefault="003C2AB5" w:rsidP="003C2AB5">
      <w:pPr>
        <w:spacing w:after="0" w:line="240" w:lineRule="auto"/>
        <w:jc w:val="both"/>
        <w:rPr>
          <w:rFonts w:ascii="Times New Roman" w:eastAsia="Arial" w:hAnsi="Times New Roman" w:cs="Times New Roman"/>
        </w:rPr>
      </w:pPr>
    </w:p>
    <w:p w:rsidR="003C2AB5" w:rsidRDefault="003C2AB5" w:rsidP="003C2AB5">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“Each separate use of a communication facility shall be a separate offense under this subsection.” 21 U.S.C. § 843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3C2AB5" w:rsidRPr="00621981" w:rsidRDefault="003C2AB5" w:rsidP="003C2AB5">
      <w:pPr>
        <w:spacing w:after="0" w:line="240" w:lineRule="auto"/>
        <w:jc w:val="both"/>
        <w:rPr>
          <w:rFonts w:ascii="Times New Roman" w:eastAsia="Arial" w:hAnsi="Times New Roman" w:cs="Times New Roman"/>
        </w:rPr>
      </w:pPr>
    </w:p>
    <w:p w:rsidR="003C2AB5" w:rsidRDefault="003C2AB5" w:rsidP="003C2AB5">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“Communication facility” means “any and all public and private instrumentalities used or useful in the transmission of writing, signs, signals, pictures, or sounds of all kinds and includes mail, telephone, wire, radio and all other means of communication.” 21 U.S.C. § 843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In addition to wire-based email (e.g. on the Internet), computers can now communicate via microwave, FM-frequency, infrared and by other non-wire based media. The statute, however, contemplates “</w:t>
      </w:r>
      <w:r>
        <w:rPr>
          <w:rFonts w:ascii="Times New Roman" w:eastAsia="Arial" w:hAnsi="Times New Roman" w:cs="Times New Roman"/>
          <w:b/>
          <w:sz w:val="26"/>
          <w:szCs w:val="26"/>
          <w:u w:val="single"/>
        </w:rPr>
        <w:t>any and all</w:t>
      </w:r>
      <w:r>
        <w:rPr>
          <w:rFonts w:ascii="Times New Roman" w:eastAsia="Arial" w:hAnsi="Times New Roman" w:cs="Times New Roman"/>
          <w:sz w:val="26"/>
          <w:szCs w:val="26"/>
        </w:rPr>
        <w:t>” forms of communication facilities.</w:t>
      </w:r>
    </w:p>
    <w:p w:rsidR="003C2AB5" w:rsidRPr="00621981" w:rsidRDefault="003C2AB5" w:rsidP="003C2AB5">
      <w:pPr>
        <w:spacing w:after="0" w:line="240" w:lineRule="auto"/>
        <w:jc w:val="both"/>
        <w:rPr>
          <w:rFonts w:ascii="Times New Roman" w:eastAsia="Arial" w:hAnsi="Times New Roman" w:cs="Times New Roman"/>
          <w:sz w:val="24"/>
          <w:szCs w:val="24"/>
        </w:rPr>
      </w:pPr>
    </w:p>
    <w:p w:rsidR="003C2AB5" w:rsidRPr="00C82D20" w:rsidRDefault="003C2AB5" w:rsidP="003C2AB5">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w:t>
      </w:r>
      <w:r w:rsidRPr="00621981">
        <w:rPr>
          <w:rFonts w:ascii="Times New Roman" w:eastAsia="Arial" w:hAnsi="Times New Roman" w:cs="Times New Roman"/>
          <w:i/>
          <w:sz w:val="26"/>
          <w:szCs w:val="26"/>
        </w:rPr>
        <w:t>United States v. Mertilus</w:t>
      </w:r>
      <w:r>
        <w:rPr>
          <w:rFonts w:ascii="Times New Roman" w:eastAsia="Arial" w:hAnsi="Times New Roman" w:cs="Times New Roman"/>
          <w:sz w:val="26"/>
          <w:szCs w:val="26"/>
        </w:rPr>
        <w:t>, 111 F.3d 870, 872 (11</w:t>
      </w:r>
      <w:r w:rsidRPr="00C82D20">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1997), the Eleventh Circuit elaborated on the proof requirements under this statute, saying “[t]o prove facilitation, the government must establish that the telephone communication made the narcotics offense easier or less difficult and, thereby, assisted or aided the crime. Where the charged underlying crime is a substantive narcotics offense, rather than an inchoate attempt or conspiracy, the government must prove the underlying offense. Section 843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does not require that the government prove that [the defendant] committed the facilitated, or underlying, offense; instead, the statute can be satisfied by showing his knowing, intentional use of a telephone to facilitate the commission of the underlying crime.” (internal citations omitted).</w:t>
      </w:r>
    </w:p>
    <w:p w:rsidR="003C2AB5" w:rsidRPr="00621981" w:rsidRDefault="003C2AB5" w:rsidP="003C2AB5">
      <w:pPr>
        <w:spacing w:after="0" w:line="240" w:lineRule="auto"/>
        <w:jc w:val="both"/>
        <w:rPr>
          <w:rFonts w:ascii="Times New Roman" w:eastAsia="Arial" w:hAnsi="Times New Roman" w:cs="Times New Roman"/>
          <w:sz w:val="24"/>
          <w:szCs w:val="24"/>
        </w:rPr>
      </w:pPr>
    </w:p>
    <w:p w:rsidR="00725167" w:rsidRPr="003C2AB5" w:rsidRDefault="003C2AB5" w:rsidP="003C2AB5">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a recent case, </w:t>
      </w:r>
      <w:r w:rsidRPr="00621981">
        <w:rPr>
          <w:rFonts w:ascii="Times New Roman" w:eastAsia="Arial" w:hAnsi="Times New Roman" w:cs="Times New Roman"/>
          <w:i/>
          <w:sz w:val="26"/>
          <w:szCs w:val="26"/>
        </w:rPr>
        <w:t>Abuelhawa v. United States</w:t>
      </w:r>
      <w:r>
        <w:rPr>
          <w:rFonts w:ascii="Times New Roman" w:eastAsia="Arial" w:hAnsi="Times New Roman" w:cs="Times New Roman"/>
          <w:sz w:val="26"/>
          <w:szCs w:val="26"/>
        </w:rPr>
        <w:t>, 129 S. Ct. 2102 (2009), the Supreme Court unanimously rejected the argument that a person using a phone to call his dealer to make a misdemeanor drug purchase “facilitates” the felony of drug distribution in violation of § 843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2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The Court stated that “[w]here a transaction like a sale necessarily presupposes two parties with specific roles, it would be odd to speak of one party as facilitating the conduct of the other.” </w:t>
      </w:r>
      <w:r w:rsidRPr="00621981">
        <w:rPr>
          <w:rFonts w:ascii="Times New Roman" w:eastAsia="Arial" w:hAnsi="Times New Roman" w:cs="Times New Roman"/>
          <w:i/>
          <w:sz w:val="26"/>
          <w:szCs w:val="26"/>
        </w:rPr>
        <w:t>Id</w:t>
      </w:r>
      <w:r>
        <w:rPr>
          <w:rFonts w:ascii="Times New Roman" w:eastAsia="Arial" w:hAnsi="Times New Roman" w:cs="Times New Roman"/>
          <w:sz w:val="26"/>
          <w:szCs w:val="26"/>
        </w:rPr>
        <w:t xml:space="preserve">. at 2105. The Court further explained that the “traditional law” is that where a statute treats one side of a bilateral transaction more leniently, such as it does with a drug purchaser and a drug distributor, “adding to the penalty of the party on that side for facilitating the action by the other would upend the calibration of punishment set by the legislature, a line of reasoning exemplified [in analogous cases].” </w:t>
      </w:r>
      <w:r w:rsidRPr="00621981">
        <w:rPr>
          <w:rFonts w:ascii="Times New Roman" w:eastAsia="Arial" w:hAnsi="Times New Roman" w:cs="Times New Roman"/>
          <w:i/>
          <w:sz w:val="26"/>
          <w:szCs w:val="26"/>
        </w:rPr>
        <w:t>Id</w:t>
      </w:r>
      <w:r>
        <w:rPr>
          <w:rFonts w:ascii="Times New Roman" w:eastAsia="Arial" w:hAnsi="Times New Roman" w:cs="Times New Roman"/>
          <w:sz w:val="26"/>
          <w:szCs w:val="26"/>
        </w:rPr>
        <w:t>. at 2106 (collecting and discussing cases).</w:t>
      </w:r>
      <w:bookmarkEnd w:id="0"/>
    </w:p>
    <w:sectPr w:rsidR="00725167" w:rsidRPr="003C2A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CFC" w:rsidRDefault="00CB3CFC" w:rsidP="00CB3CFC">
      <w:pPr>
        <w:spacing w:after="0" w:line="240" w:lineRule="auto"/>
      </w:pPr>
      <w:r>
        <w:separator/>
      </w:r>
    </w:p>
  </w:endnote>
  <w:endnote w:type="continuationSeparator" w:id="0">
    <w:p w:rsidR="00CB3CFC" w:rsidRDefault="00CB3CFC" w:rsidP="00CB3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CFC" w:rsidRDefault="00CB3CFC" w:rsidP="00CB3CFC">
      <w:pPr>
        <w:spacing w:after="0" w:line="240" w:lineRule="auto"/>
      </w:pPr>
      <w:r>
        <w:separator/>
      </w:r>
    </w:p>
  </w:footnote>
  <w:footnote w:type="continuationSeparator" w:id="0">
    <w:p w:rsidR="00CB3CFC" w:rsidRDefault="00CB3CFC" w:rsidP="00CB3C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4B9"/>
    <w:rsid w:val="00290544"/>
    <w:rsid w:val="002B6595"/>
    <w:rsid w:val="002D2202"/>
    <w:rsid w:val="003067A0"/>
    <w:rsid w:val="00314335"/>
    <w:rsid w:val="003163CF"/>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21981"/>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60792"/>
    <w:rsid w:val="00C6290E"/>
    <w:rsid w:val="00C83E88"/>
    <w:rsid w:val="00CA3187"/>
    <w:rsid w:val="00CA4FB6"/>
    <w:rsid w:val="00CB3CFC"/>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CB3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FC"/>
  </w:style>
  <w:style w:type="paragraph" w:styleId="Footer">
    <w:name w:val="footer"/>
    <w:basedOn w:val="Normal"/>
    <w:link w:val="FooterChar"/>
    <w:uiPriority w:val="99"/>
    <w:unhideWhenUsed/>
    <w:rsid w:val="00CB3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CB3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FC"/>
  </w:style>
  <w:style w:type="paragraph" w:styleId="Footer">
    <w:name w:val="footer"/>
    <w:basedOn w:val="Normal"/>
    <w:link w:val="FooterChar"/>
    <w:uiPriority w:val="99"/>
    <w:unhideWhenUsed/>
    <w:rsid w:val="00CB3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2014-04-01T17:25:00Z</dcterms:created>
  <dcterms:modified xsi:type="dcterms:W3CDTF">2014-06-17T11:59:00Z</dcterms:modified>
</cp:coreProperties>
</file>