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1A6" w:rsidRPr="00503874" w:rsidRDefault="00AA01A6" w:rsidP="00AA01A6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bookmarkStart w:id="0" w:name="_GoBack"/>
      <w:bookmarkEnd w:id="0"/>
      <w:r w:rsidRPr="00503874">
        <w:rPr>
          <w:rFonts w:ascii="Times New Roman" w:eastAsia="Arial" w:hAnsi="Times New Roman"/>
          <w:b/>
          <w:sz w:val="26"/>
          <w:szCs w:val="26"/>
          <w:u w:val="single"/>
        </w:rPr>
        <w:t>ANNOTATIONS AND COMMENTS</w:t>
      </w:r>
    </w:p>
    <w:p w:rsidR="00AA01A6" w:rsidRPr="00503874" w:rsidRDefault="00AA01A6" w:rsidP="00AA01A6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AA01A6" w:rsidRPr="00503874" w:rsidRDefault="00AA01A6" w:rsidP="00AA01A6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7A1276">
        <w:rPr>
          <w:rFonts w:ascii="Times New Roman" w:eastAsia="Arial" w:hAnsi="Times New Roman"/>
          <w:i/>
          <w:sz w:val="26"/>
          <w:szCs w:val="26"/>
        </w:rPr>
        <w:t>See United States v. Davis</w:t>
      </w:r>
      <w:r w:rsidRPr="00503874">
        <w:rPr>
          <w:rFonts w:ascii="Times New Roman" w:eastAsia="Arial" w:hAnsi="Times New Roman"/>
          <w:sz w:val="26"/>
          <w:szCs w:val="26"/>
        </w:rPr>
        <w:t>, 799 F.2d 1490, 1493-94 (11</w:t>
      </w:r>
      <w:r w:rsidRPr="00503874">
        <w:rPr>
          <w:rFonts w:ascii="Times New Roman" w:eastAsia="Arial" w:hAnsi="Times New Roman"/>
          <w:sz w:val="26"/>
          <w:szCs w:val="26"/>
          <w:vertAlign w:val="superscript"/>
        </w:rPr>
        <w:t>th</w:t>
      </w:r>
      <w:r w:rsidRPr="00503874">
        <w:rPr>
          <w:rFonts w:ascii="Times New Roman" w:eastAsia="Arial" w:hAnsi="Times New Roman"/>
          <w:sz w:val="26"/>
          <w:szCs w:val="26"/>
        </w:rPr>
        <w:t xml:space="preserve"> Cir. 1986). </w:t>
      </w:r>
      <w:r w:rsidRPr="007A1276">
        <w:rPr>
          <w:rFonts w:ascii="Times New Roman" w:eastAsia="Arial" w:hAnsi="Times New Roman"/>
          <w:i/>
          <w:sz w:val="26"/>
          <w:szCs w:val="26"/>
        </w:rPr>
        <w:t>See also United States v. King</w:t>
      </w:r>
      <w:r w:rsidRPr="00503874">
        <w:rPr>
          <w:rFonts w:ascii="Times New Roman" w:eastAsia="Arial" w:hAnsi="Times New Roman"/>
          <w:sz w:val="26"/>
          <w:szCs w:val="26"/>
        </w:rPr>
        <w:t>, 73 F.3d 1564, 1569-71 (11</w:t>
      </w:r>
      <w:r w:rsidRPr="00503874">
        <w:rPr>
          <w:rFonts w:ascii="Times New Roman" w:eastAsia="Arial" w:hAnsi="Times New Roman"/>
          <w:sz w:val="26"/>
          <w:szCs w:val="26"/>
          <w:vertAlign w:val="superscript"/>
        </w:rPr>
        <w:t>th</w:t>
      </w:r>
      <w:r w:rsidRPr="00503874">
        <w:rPr>
          <w:rFonts w:ascii="Times New Roman" w:eastAsia="Arial" w:hAnsi="Times New Roman"/>
          <w:sz w:val="26"/>
          <w:szCs w:val="26"/>
        </w:rPr>
        <w:t xml:space="preserve"> Cir. 1996), </w:t>
      </w:r>
      <w:r w:rsidRPr="007A1276">
        <w:rPr>
          <w:rFonts w:ascii="Times New Roman" w:eastAsia="Arial" w:hAnsi="Times New Roman"/>
          <w:i/>
          <w:sz w:val="26"/>
          <w:szCs w:val="26"/>
        </w:rPr>
        <w:t>cert. denied</w:t>
      </w:r>
      <w:r w:rsidRPr="00503874">
        <w:rPr>
          <w:rFonts w:ascii="Times New Roman" w:eastAsia="Arial" w:hAnsi="Times New Roman"/>
          <w:sz w:val="26"/>
          <w:szCs w:val="26"/>
        </w:rPr>
        <w:t>, 519 U.S. 886, 117 S. Ct. 220, 136 L.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Ed.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2d 153 (1996).</w:t>
      </w:r>
    </w:p>
    <w:p w:rsidR="00AA01A6" w:rsidRPr="00503874" w:rsidRDefault="00AA01A6" w:rsidP="00AA01A6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725167" w:rsidRPr="00AA01A6" w:rsidRDefault="00AA01A6" w:rsidP="00AA01A6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sz w:val="26"/>
          <w:szCs w:val="26"/>
        </w:rPr>
        <w:t xml:space="preserve">However, in </w:t>
      </w:r>
      <w:r w:rsidRPr="007A1276">
        <w:rPr>
          <w:rFonts w:ascii="Times New Roman" w:eastAsia="Arial" w:hAnsi="Times New Roman"/>
          <w:i/>
          <w:sz w:val="26"/>
          <w:szCs w:val="26"/>
        </w:rPr>
        <w:t>Jacobson v. United States</w:t>
      </w:r>
      <w:r w:rsidRPr="00503874">
        <w:rPr>
          <w:rFonts w:ascii="Times New Roman" w:eastAsia="Arial" w:hAnsi="Times New Roman"/>
          <w:sz w:val="26"/>
          <w:szCs w:val="26"/>
        </w:rPr>
        <w:t>, 503 U.S. 540, 112 S. Ct. 1535, 118 L.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Ed.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 xml:space="preserve">2d 174 (1992), the Supreme Court held that the necessary predisposition of the Defendant must have existed before the Defendant was approached by Government agents or cooperating informants, and in </w:t>
      </w:r>
      <w:r w:rsidRPr="007A1276">
        <w:rPr>
          <w:rFonts w:ascii="Times New Roman" w:eastAsia="Arial" w:hAnsi="Times New Roman"/>
          <w:i/>
          <w:sz w:val="26"/>
          <w:szCs w:val="26"/>
        </w:rPr>
        <w:t>United States v. Brown</w:t>
      </w:r>
      <w:r w:rsidRPr="00503874">
        <w:rPr>
          <w:rFonts w:ascii="Times New Roman" w:eastAsia="Arial" w:hAnsi="Times New Roman"/>
          <w:sz w:val="26"/>
          <w:szCs w:val="26"/>
        </w:rPr>
        <w:t>, 43 F.3d 618, 628 n.8 (11</w:t>
      </w:r>
      <w:r w:rsidRPr="00503874">
        <w:rPr>
          <w:rFonts w:ascii="Times New Roman" w:eastAsia="Arial" w:hAnsi="Times New Roman"/>
          <w:sz w:val="26"/>
          <w:szCs w:val="26"/>
          <w:vertAlign w:val="superscript"/>
        </w:rPr>
        <w:t>th</w:t>
      </w:r>
      <w:r w:rsidRPr="00503874">
        <w:rPr>
          <w:rFonts w:ascii="Times New Roman" w:eastAsia="Arial" w:hAnsi="Times New Roman"/>
          <w:sz w:val="26"/>
          <w:szCs w:val="26"/>
        </w:rPr>
        <w:t xml:space="preserve"> Cir. 1995), </w:t>
      </w:r>
      <w:r w:rsidRPr="007A1276">
        <w:rPr>
          <w:rFonts w:ascii="Times New Roman" w:eastAsia="Arial" w:hAnsi="Times New Roman"/>
          <w:sz w:val="26"/>
          <w:szCs w:val="26"/>
        </w:rPr>
        <w:t>cert. denied</w:t>
      </w:r>
      <w:r w:rsidRPr="00503874">
        <w:rPr>
          <w:rFonts w:ascii="Times New Roman" w:eastAsia="Arial" w:hAnsi="Times New Roman"/>
          <w:sz w:val="26"/>
          <w:szCs w:val="26"/>
        </w:rPr>
        <w:t>, 516 U.S. 917, 116 S. Ct. 309, 133 L.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Ed.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 xml:space="preserve">2d 212 (1995), the Court of Appeals upheld the sufficiency and correctness of the former instruction but implied that clarification might be appropriate in the light of </w:t>
      </w:r>
      <w:r w:rsidRPr="007A1276">
        <w:rPr>
          <w:rFonts w:ascii="Times New Roman" w:eastAsia="Arial" w:hAnsi="Times New Roman"/>
          <w:i/>
          <w:sz w:val="26"/>
          <w:szCs w:val="26"/>
        </w:rPr>
        <w:t>Jacobson</w:t>
      </w:r>
      <w:r w:rsidRPr="00503874">
        <w:rPr>
          <w:rFonts w:ascii="Times New Roman" w:eastAsia="Arial" w:hAnsi="Times New Roman"/>
          <w:sz w:val="26"/>
          <w:szCs w:val="26"/>
        </w:rPr>
        <w:t>. The present reformulation of the instruction on entrapment makes that clarification.</w:t>
      </w:r>
    </w:p>
    <w:sectPr w:rsidR="00725167" w:rsidRPr="00AA0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109" w:rsidRDefault="00D35109" w:rsidP="00D35109">
      <w:pPr>
        <w:spacing w:after="0" w:line="240" w:lineRule="auto"/>
      </w:pPr>
      <w:r>
        <w:separator/>
      </w:r>
    </w:p>
  </w:endnote>
  <w:endnote w:type="continuationSeparator" w:id="0">
    <w:p w:rsidR="00D35109" w:rsidRDefault="00D35109" w:rsidP="00D35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109" w:rsidRDefault="00D35109" w:rsidP="00D35109">
      <w:pPr>
        <w:spacing w:after="0" w:line="240" w:lineRule="auto"/>
      </w:pPr>
      <w:r>
        <w:separator/>
      </w:r>
    </w:p>
  </w:footnote>
  <w:footnote w:type="continuationSeparator" w:id="0">
    <w:p w:rsidR="00D35109" w:rsidRDefault="00D35109" w:rsidP="00D351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E82"/>
    <w:rsid w:val="00014B03"/>
    <w:rsid w:val="0003583F"/>
    <w:rsid w:val="00091548"/>
    <w:rsid w:val="000C32C1"/>
    <w:rsid w:val="00135397"/>
    <w:rsid w:val="00157747"/>
    <w:rsid w:val="00194E82"/>
    <w:rsid w:val="001E5B53"/>
    <w:rsid w:val="001E7559"/>
    <w:rsid w:val="002604B9"/>
    <w:rsid w:val="003067A0"/>
    <w:rsid w:val="004C148A"/>
    <w:rsid w:val="00511CE4"/>
    <w:rsid w:val="0056064A"/>
    <w:rsid w:val="005C4DB9"/>
    <w:rsid w:val="00615301"/>
    <w:rsid w:val="006179FB"/>
    <w:rsid w:val="00725167"/>
    <w:rsid w:val="00780FDD"/>
    <w:rsid w:val="00783A2A"/>
    <w:rsid w:val="007A1276"/>
    <w:rsid w:val="0081575C"/>
    <w:rsid w:val="008B4118"/>
    <w:rsid w:val="008E4BA2"/>
    <w:rsid w:val="009458BA"/>
    <w:rsid w:val="00A355FD"/>
    <w:rsid w:val="00A66EA6"/>
    <w:rsid w:val="00AA01A6"/>
    <w:rsid w:val="00AC24E2"/>
    <w:rsid w:val="00AE20D4"/>
    <w:rsid w:val="00AF2C77"/>
    <w:rsid w:val="00B85D99"/>
    <w:rsid w:val="00B930F5"/>
    <w:rsid w:val="00BA1F2B"/>
    <w:rsid w:val="00CD51F7"/>
    <w:rsid w:val="00CE7DC5"/>
    <w:rsid w:val="00CF4F9A"/>
    <w:rsid w:val="00D163A7"/>
    <w:rsid w:val="00D35109"/>
    <w:rsid w:val="00D7262F"/>
    <w:rsid w:val="00DA00D9"/>
    <w:rsid w:val="00DC18AE"/>
    <w:rsid w:val="00DE7E97"/>
    <w:rsid w:val="00E31401"/>
    <w:rsid w:val="00E42DFC"/>
    <w:rsid w:val="00E627E0"/>
    <w:rsid w:val="00E85563"/>
    <w:rsid w:val="00EB1384"/>
    <w:rsid w:val="00F27B7F"/>
    <w:rsid w:val="00FA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5C4D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51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109"/>
  </w:style>
  <w:style w:type="paragraph" w:styleId="Footer">
    <w:name w:val="footer"/>
    <w:basedOn w:val="Normal"/>
    <w:link w:val="FooterChar"/>
    <w:uiPriority w:val="99"/>
    <w:unhideWhenUsed/>
    <w:rsid w:val="00D351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1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5C4D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51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109"/>
  </w:style>
  <w:style w:type="paragraph" w:styleId="Footer">
    <w:name w:val="footer"/>
    <w:basedOn w:val="Normal"/>
    <w:link w:val="FooterChar"/>
    <w:uiPriority w:val="99"/>
    <w:unhideWhenUsed/>
    <w:rsid w:val="00D351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2014-03-31T21:18:00Z</dcterms:created>
  <dcterms:modified xsi:type="dcterms:W3CDTF">2014-06-16T20:11:00Z</dcterms:modified>
</cp:coreProperties>
</file>